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6948"/>
        </w:tabs>
        <w:jc w:val="center"/>
        <w:rPr>
          <w:rFonts w:hAnsi="宋体"/>
          <w:b/>
          <w:bCs/>
          <w:color w:val="000000" w:themeColor="text1"/>
          <w:sz w:val="52"/>
          <w14:textFill>
            <w14:solidFill>
              <w14:schemeClr w14:val="tx1"/>
            </w14:solidFill>
          </w14:textFill>
        </w:rPr>
      </w:pPr>
      <w:r>
        <w:rPr>
          <w:rFonts w:hint="eastAsia" w:hAnsi="宋体"/>
          <w:b/>
          <w:bCs/>
          <w:color w:val="000000" w:themeColor="text1"/>
          <w:sz w:val="52"/>
          <w14:textFill>
            <w14:solidFill>
              <w14:schemeClr w14:val="tx1"/>
            </w14:solidFill>
          </w14:textFill>
        </w:rPr>
        <w:t>甘肃中强会计师事务有限公司</w:t>
      </w:r>
    </w:p>
    <w:p>
      <w:pPr>
        <w:pStyle w:val="20"/>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GANSU  ZHONGQIANG  CERTIFIED  PUBLIC  ACCOUNTANT CO．LTD</w:t>
      </w:r>
    </w:p>
    <w:p>
      <w:pPr>
        <w:pStyle w:val="20"/>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甘中会审字（2022）第</w:t>
      </w:r>
      <w:r>
        <w:rPr>
          <w:rFonts w:hint="eastAsia"/>
          <w:color w:val="000000" w:themeColor="text1"/>
          <w14:textFill>
            <w14:solidFill>
              <w14:schemeClr w14:val="tx1"/>
            </w14:solidFill>
          </w14:textFill>
        </w:rPr>
        <w:t>180</w:t>
      </w:r>
      <w:r>
        <w:rPr>
          <w:rFonts w:hint="eastAsia" w:hAnsi="宋体"/>
          <w:color w:val="000000" w:themeColor="text1"/>
          <w14:textFill>
            <w14:solidFill>
              <w14:schemeClr w14:val="tx1"/>
            </w14:solidFill>
          </w14:textFill>
        </w:rPr>
        <w:t>号</w:t>
      </w:r>
    </w:p>
    <w:p>
      <w:pPr>
        <w:pStyle w:val="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p>
    <w:p>
      <w:pPr>
        <w:pStyle w:val="20"/>
        <w:tabs>
          <w:tab w:val="left" w:pos="1440"/>
        </w:tabs>
        <w:ind w:left="-359" w:leftChars="-171"/>
        <w:jc w:val="center"/>
        <w:rPr>
          <w:rFonts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2021年度甘肃省</w:t>
      </w:r>
      <w:r>
        <w:rPr>
          <w:rFonts w:hint="eastAsia" w:ascii="宋体" w:hAnsi="宋体"/>
          <w:b/>
          <w:bCs/>
          <w:color w:val="000000" w:themeColor="text1"/>
          <w:sz w:val="44"/>
          <w:szCs w:val="44"/>
          <w14:textFill>
            <w14:solidFill>
              <w14:schemeClr w14:val="tx1"/>
            </w14:solidFill>
          </w14:textFill>
        </w:rPr>
        <w:t>省级财政支出项目</w:t>
      </w:r>
    </w:p>
    <w:p>
      <w:pPr>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绩效评价报告</w:t>
      </w:r>
    </w:p>
    <w:p>
      <w:pPr>
        <w:jc w:val="center"/>
        <w:rPr>
          <w:rFonts w:ascii="仿宋_GB2312" w:hAnsi="宋体" w:eastAsia="仿宋_GB2312"/>
          <w:b/>
          <w:bCs/>
          <w:color w:val="000000" w:themeColor="text1"/>
          <w:sz w:val="32"/>
          <w:szCs w:val="32"/>
          <w14:textFill>
            <w14:solidFill>
              <w14:schemeClr w14:val="tx1"/>
            </w14:solidFill>
          </w14:textFill>
        </w:rPr>
      </w:pPr>
    </w:p>
    <w:p>
      <w:pPr>
        <w:jc w:val="center"/>
        <w:rPr>
          <w:rFonts w:ascii="仿宋_GB2312" w:hAnsi="宋体" w:eastAsia="仿宋_GB2312"/>
          <w:b/>
          <w:bCs/>
          <w:color w:val="000000" w:themeColor="text1"/>
          <w:sz w:val="32"/>
          <w:szCs w:val="32"/>
          <w14:textFill>
            <w14:solidFill>
              <w14:schemeClr w14:val="tx1"/>
            </w14:solidFill>
          </w14:textFill>
        </w:rPr>
      </w:pPr>
    </w:p>
    <w:p>
      <w:pPr>
        <w:spacing w:line="578" w:lineRule="exact"/>
        <w:ind w:firstLine="320" w:firstLineChars="100"/>
        <w:rPr>
          <w:rFonts w:ascii="仿宋_GB2312" w:hAnsi="仿宋" w:eastAsia="仿宋_GB2312" w:cs="仿宋"/>
          <w:color w:val="000000" w:themeColor="text1"/>
          <w:sz w:val="32"/>
          <w:szCs w:val="32"/>
          <w:u w:val="single"/>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评价类型：</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实施过程评价</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 xml:space="preserve">完成结果评价 </w:t>
      </w:r>
    </w:p>
    <w:p>
      <w:pPr>
        <w:spacing w:line="578" w:lineRule="exact"/>
        <w:ind w:left="1600" w:hanging="1600" w:hangingChars="5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项目名称：</w:t>
      </w:r>
      <w:r>
        <w:rPr>
          <w:rFonts w:hint="eastAsia" w:ascii="仿宋_GB2312" w:hAnsi="仿宋" w:eastAsia="仿宋_GB2312" w:cs="仿宋"/>
          <w:color w:val="000000" w:themeColor="text1"/>
          <w:sz w:val="32"/>
          <w:szCs w:val="32"/>
          <w:u w:val="single"/>
          <w14:textFill>
            <w14:solidFill>
              <w14:schemeClr w14:val="tx1"/>
            </w14:solidFill>
          </w14:textFill>
        </w:rPr>
        <w:t xml:space="preserve"> 2021年度巾帼扶贫车间财政专项资金绩效评价</w:t>
      </w:r>
    </w:p>
    <w:p>
      <w:pPr>
        <w:spacing w:line="578" w:lineRule="exact"/>
        <w:ind w:left="1600" w:hanging="1600" w:hangingChars="5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项目单位：</w:t>
      </w:r>
      <w:r>
        <w:rPr>
          <w:rFonts w:hint="eastAsia" w:ascii="仿宋_GB2312" w:hAnsi="仿宋" w:eastAsia="仿宋_GB2312" w:cs="仿宋"/>
          <w:color w:val="000000" w:themeColor="text1"/>
          <w:sz w:val="32"/>
          <w:szCs w:val="32"/>
          <w:u w:val="single"/>
          <w14:textFill>
            <w14:solidFill>
              <w14:schemeClr w14:val="tx1"/>
            </w14:solidFill>
          </w14:textFill>
        </w:rPr>
        <w:t>甘肃省12个市州及兰州新区妇女联合会</w:t>
      </w:r>
    </w:p>
    <w:p>
      <w:pPr>
        <w:spacing w:line="578" w:lineRule="exact"/>
        <w:ind w:left="1599" w:leftChars="152" w:hanging="1280" w:hangingChars="400"/>
        <w:rPr>
          <w:rFonts w:ascii="仿宋_GB2312" w:hAnsi="仿宋" w:eastAsia="仿宋_GB2312" w:cs="仿宋"/>
          <w:color w:val="000000" w:themeColor="text1"/>
          <w:sz w:val="32"/>
          <w:szCs w:val="32"/>
          <w:u w:val="single"/>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主管部门：</w:t>
      </w:r>
      <w:r>
        <w:rPr>
          <w:rFonts w:hint="eastAsia" w:ascii="仿宋_GB2312" w:hAnsi="仿宋" w:eastAsia="仿宋_GB2312" w:cs="仿宋"/>
          <w:color w:val="000000" w:themeColor="text1"/>
          <w:sz w:val="32"/>
          <w:szCs w:val="32"/>
          <w:u w:val="single"/>
          <w14:textFill>
            <w14:solidFill>
              <w14:schemeClr w14:val="tx1"/>
            </w14:solidFill>
          </w14:textFill>
        </w:rPr>
        <w:t xml:space="preserve">甘肃省妇女联合会  </w:t>
      </w:r>
    </w:p>
    <w:p>
      <w:pPr>
        <w:spacing w:line="578" w:lineRule="exact"/>
        <w:ind w:left="1599" w:leftChars="152" w:hanging="1280" w:hangingChars="4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评价时间：</w:t>
      </w:r>
      <w:r>
        <w:rPr>
          <w:rFonts w:hint="eastAsia" w:ascii="仿宋_GB2312" w:hAnsi="仿宋" w:eastAsia="仿宋_GB2312" w:cs="仿宋"/>
          <w:color w:val="000000" w:themeColor="text1"/>
          <w:sz w:val="32"/>
          <w:szCs w:val="32"/>
          <w:u w:val="single"/>
          <w14:textFill>
            <w14:solidFill>
              <w14:schemeClr w14:val="tx1"/>
            </w14:solidFill>
          </w14:textFill>
        </w:rPr>
        <w:t>2021年 01月01 日2021 年 12 月31 日</w:t>
      </w:r>
    </w:p>
    <w:p>
      <w:pPr>
        <w:spacing w:line="578" w:lineRule="exact"/>
        <w:ind w:left="1599" w:leftChars="152" w:hanging="1280" w:hangingChars="400"/>
        <w:rPr>
          <w:rFonts w:ascii="仿宋_GB2312" w:hAnsi="仿宋" w:eastAsia="仿宋_GB2312" w:cs="仿宋"/>
          <w:color w:val="000000" w:themeColor="text1"/>
          <w:sz w:val="32"/>
          <w:szCs w:val="32"/>
          <w:u w:val="single"/>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组织方式：</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 xml:space="preserve">财政部门 </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主管部门</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 xml:space="preserve">项目单位    </w:t>
      </w:r>
    </w:p>
    <w:p>
      <w:pPr>
        <w:spacing w:line="578" w:lineRule="exact"/>
        <w:ind w:left="1599" w:leftChars="152" w:hanging="1280" w:hangingChars="4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评价机构：</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 xml:space="preserve">中介机构 </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 xml:space="preserve">专家组 </w:t>
      </w:r>
      <w:r>
        <w:rPr>
          <w:rFonts w:hint="eastAsia" w:ascii="仿宋_GB2312" w:hAnsi="仿宋" w:eastAsia="仿宋_GB2312" w:cs="仿宋"/>
          <w:color w:val="000000" w:themeColor="text1"/>
          <w:spacing w:val="-20"/>
          <w:sz w:val="32"/>
          <w:szCs w:val="32"/>
          <w:u w:val="single"/>
          <w14:textFill>
            <w14:solidFill>
              <w14:schemeClr w14:val="tx1"/>
            </w14:solidFill>
          </w14:textFill>
        </w:rPr>
        <w:t>□</w:t>
      </w:r>
      <w:r>
        <w:rPr>
          <w:rFonts w:hint="eastAsia" w:ascii="仿宋_GB2312" w:hAnsi="仿宋" w:eastAsia="仿宋_GB2312" w:cs="仿宋"/>
          <w:color w:val="000000" w:themeColor="text1"/>
          <w:sz w:val="32"/>
          <w:szCs w:val="32"/>
          <w:u w:val="single"/>
          <w14:textFill>
            <w14:solidFill>
              <w14:schemeClr w14:val="tx1"/>
            </w14:solidFill>
          </w14:textFill>
        </w:rPr>
        <w:t>项目单位评价组</w:t>
      </w:r>
    </w:p>
    <w:p>
      <w:pPr>
        <w:spacing w:line="578" w:lineRule="exact"/>
        <w:ind w:left="1600" w:hanging="1600" w:hangingChars="500"/>
        <w:rPr>
          <w:rFonts w:ascii="仿宋_GB2312" w:hAnsi="仿宋" w:eastAsia="仿宋_GB2312" w:cs="仿宋"/>
          <w:color w:val="000000" w:themeColor="text1"/>
          <w:sz w:val="32"/>
          <w:szCs w:val="32"/>
          <w14:textFill>
            <w14:solidFill>
              <w14:schemeClr w14:val="tx1"/>
            </w14:solidFill>
          </w14:textFill>
        </w:rPr>
      </w:pPr>
    </w:p>
    <w:p>
      <w:pPr>
        <w:spacing w:line="578" w:lineRule="exact"/>
        <w:rPr>
          <w:rFonts w:ascii="仿宋_GB2312" w:hAnsi="仿宋" w:eastAsia="仿宋_GB2312" w:cs="仿宋"/>
          <w:color w:val="000000" w:themeColor="text1"/>
          <w:sz w:val="32"/>
          <w:szCs w:val="32"/>
          <w14:textFill>
            <w14:solidFill>
              <w14:schemeClr w14:val="tx1"/>
            </w14:solidFill>
          </w14:textFill>
        </w:rPr>
      </w:pPr>
    </w:p>
    <w:p>
      <w:pPr>
        <w:spacing w:line="578" w:lineRule="exact"/>
        <w:ind w:left="1600" w:hanging="1600" w:hangingChars="500"/>
        <w:rPr>
          <w:rFonts w:ascii="仿宋_GB2312" w:hAnsi="仿宋" w:eastAsia="仿宋_GB2312" w:cs="仿宋"/>
          <w:color w:val="000000" w:themeColor="text1"/>
          <w:sz w:val="32"/>
          <w:szCs w:val="32"/>
          <w14:textFill>
            <w14:solidFill>
              <w14:schemeClr w14:val="tx1"/>
            </w14:solidFill>
          </w14:textFill>
        </w:rPr>
      </w:pPr>
    </w:p>
    <w:p>
      <w:pPr>
        <w:spacing w:line="578" w:lineRule="exact"/>
        <w:ind w:left="1600" w:hanging="1600" w:hangingChars="500"/>
        <w:rPr>
          <w:rFonts w:ascii="仿宋_GB2312" w:hAnsi="仿宋" w:eastAsia="仿宋_GB2312" w:cs="仿宋"/>
          <w:color w:val="000000" w:themeColor="text1"/>
          <w:sz w:val="32"/>
          <w:szCs w:val="32"/>
          <w14:textFill>
            <w14:solidFill>
              <w14:schemeClr w14:val="tx1"/>
            </w14:solidFill>
          </w14:textFill>
        </w:rPr>
      </w:pPr>
    </w:p>
    <w:p>
      <w:pPr>
        <w:spacing w:line="578" w:lineRule="exact"/>
        <w:ind w:left="1600" w:hanging="1600" w:hangingChars="500"/>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评价单位（盖章）：甘肃中强会计师事务有限公司</w:t>
      </w:r>
    </w:p>
    <w:p>
      <w:pPr>
        <w:spacing w:line="578" w:lineRule="exact"/>
        <w:ind w:left="1600" w:hanging="1600" w:hangingChars="500"/>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上报时间：2022年05月19日</w:t>
      </w:r>
    </w:p>
    <w:p>
      <w:pPr>
        <w:tabs>
          <w:tab w:val="left" w:pos="3579"/>
          <w:tab w:val="center" w:pos="4380"/>
        </w:tabs>
        <w:rPr>
          <w:rFonts w:ascii="宋体" w:hAnsi="宋体"/>
          <w:color w:val="000000" w:themeColor="text1"/>
          <w14:textFill>
            <w14:solidFill>
              <w14:schemeClr w14:val="tx1"/>
            </w14:solidFill>
          </w14:textFill>
        </w:rPr>
      </w:pPr>
    </w:p>
    <w:p>
      <w:pPr>
        <w:jc w:val="center"/>
        <w:rPr>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目</w:t>
      </w:r>
      <w:r>
        <w:rPr>
          <w:rFonts w:hint="eastAsia" w:ascii="宋体" w:hAnsi="宋体"/>
          <w:b/>
          <w:bCs/>
          <w:color w:val="000000" w:themeColor="text1"/>
          <w:sz w:val="28"/>
          <w:szCs w:val="28"/>
          <w14:textFill>
            <w14:solidFill>
              <w14:schemeClr w14:val="tx1"/>
            </w14:solidFill>
          </w14:textFill>
        </w:rPr>
        <w:t xml:space="preserve">  </w:t>
      </w:r>
      <w:r>
        <w:rPr>
          <w:rFonts w:ascii="宋体" w:hAnsi="宋体"/>
          <w:b/>
          <w:bCs/>
          <w:color w:val="000000" w:themeColor="text1"/>
          <w:sz w:val="28"/>
          <w:szCs w:val="28"/>
          <w14:textFill>
            <w14:solidFill>
              <w14:schemeClr w14:val="tx1"/>
            </w14:solidFill>
          </w14:textFill>
        </w:rPr>
        <w:t>录</w:t>
      </w:r>
    </w:p>
    <w:p>
      <w:pPr>
        <w:pStyle w:val="24"/>
        <w:tabs>
          <w:tab w:val="right" w:leader="dot" w:pos="8640"/>
        </w:tabs>
        <w:snapToGrid w:val="0"/>
        <w:spacing w:line="360" w:lineRule="auto"/>
        <w:rPr>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fldChar w:fldCharType="begin"/>
      </w:r>
      <w:r>
        <w:rPr>
          <w:rFonts w:hint="eastAsia" w:ascii="宋体" w:hAnsi="宋体"/>
          <w:b/>
          <w:bCs/>
          <w:color w:val="000000" w:themeColor="text1"/>
          <w:sz w:val="28"/>
          <w:szCs w:val="28"/>
          <w14:textFill>
            <w14:solidFill>
              <w14:schemeClr w14:val="tx1"/>
            </w14:solidFill>
          </w14:textFill>
        </w:rPr>
        <w:instrText xml:space="preserve">TOC \o "1-3" \h \u </w:instrText>
      </w:r>
      <w:r>
        <w:rPr>
          <w:rFonts w:hint="eastAsia" w:ascii="宋体" w:hAnsi="宋体"/>
          <w:b/>
          <w:bCs/>
          <w:color w:val="000000" w:themeColor="text1"/>
          <w:sz w:val="28"/>
          <w:szCs w:val="28"/>
          <w14:textFill>
            <w14:solidFill>
              <w14:schemeClr w14:val="tx1"/>
            </w14:solidFill>
          </w14:textFill>
        </w:rPr>
        <w:fldChar w:fldCharType="separate"/>
      </w:r>
      <w:r>
        <w:fldChar w:fldCharType="begin"/>
      </w:r>
      <w:r>
        <w:instrText xml:space="preserve"> HYPERLINK \l "_Toc21374" </w:instrText>
      </w:r>
      <w:r>
        <w:fldChar w:fldCharType="separate"/>
      </w:r>
      <w:r>
        <w:rPr>
          <w:rFonts w:hint="eastAsia" w:ascii="宋体" w:hAnsi="宋体"/>
          <w:bCs/>
          <w:color w:val="000000" w:themeColor="text1"/>
          <w:sz w:val="28"/>
          <w:szCs w:val="28"/>
          <w14:textFill>
            <w14:solidFill>
              <w14:schemeClr w14:val="tx1"/>
            </w14:solidFill>
          </w14:textFill>
        </w:rPr>
        <w:t>摘要</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_Toc21374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"_Toc3084" </w:instrText>
      </w:r>
      <w:r>
        <w:fldChar w:fldCharType="separate"/>
      </w:r>
      <w:r>
        <w:rPr>
          <w:rFonts w:hint="eastAsia"/>
          <w:color w:val="000000" w:themeColor="text1"/>
          <w:sz w:val="28"/>
          <w:szCs w:val="28"/>
          <w14:textFill>
            <w14:solidFill>
              <w14:schemeClr w14:val="tx1"/>
            </w14:solidFill>
          </w14:textFill>
        </w:rPr>
        <w:t>一、 概述</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_Toc3084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"_Toc5059" </w:instrText>
      </w:r>
      <w:r>
        <w:fldChar w:fldCharType="separate"/>
      </w:r>
      <w:r>
        <w:rPr>
          <w:rFonts w:hint="eastAsia"/>
          <w:color w:val="000000" w:themeColor="text1"/>
          <w:sz w:val="28"/>
          <w:szCs w:val="28"/>
          <w14:textFill>
            <w14:solidFill>
              <w14:schemeClr w14:val="tx1"/>
            </w14:solidFill>
          </w14:textFill>
        </w:rPr>
        <w:t>二、 评价结论</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_Toc5059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"_Toc24805" </w:instrText>
      </w:r>
      <w:r>
        <w:fldChar w:fldCharType="separate"/>
      </w:r>
      <w:r>
        <w:rPr>
          <w:rFonts w:hint="eastAsia"/>
          <w:color w:val="000000" w:themeColor="text1"/>
          <w:sz w:val="28"/>
          <w:szCs w:val="28"/>
          <w14:textFill>
            <w14:solidFill>
              <w14:schemeClr w14:val="tx1"/>
            </w14:solidFill>
          </w14:textFill>
        </w:rPr>
        <w:t>三、 评价建议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_Toc24805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"_Toc9053" </w:instrText>
      </w:r>
      <w:r>
        <w:fldChar w:fldCharType="separate"/>
      </w:r>
      <w:r>
        <w:rPr>
          <w:rFonts w:hint="eastAsia"/>
          <w:color w:val="000000" w:themeColor="text1"/>
          <w:sz w:val="28"/>
          <w:szCs w:val="28"/>
          <w14:textFill>
            <w14:solidFill>
              <w14:schemeClr w14:val="tx1"/>
            </w14:solidFill>
          </w14:textFill>
        </w:rPr>
        <w:t>前言</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_Toc9053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"_Toc6730" </w:instrText>
      </w:r>
      <w:r>
        <w:fldChar w:fldCharType="separate"/>
      </w:r>
      <w:r>
        <w:rPr>
          <w:rFonts w:hint="eastAsia"/>
          <w:color w:val="000000" w:themeColor="text1"/>
          <w:sz w:val="28"/>
          <w:szCs w:val="28"/>
          <w14:textFill>
            <w14:solidFill>
              <w14:schemeClr w14:val="tx1"/>
            </w14:solidFill>
          </w14:textFill>
        </w:rPr>
        <w:t>一、 开展绩效评价的背景</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_Toc6730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"_Toc1715" </w:instrText>
      </w:r>
      <w:r>
        <w:fldChar w:fldCharType="separate"/>
      </w:r>
      <w:r>
        <w:rPr>
          <w:rFonts w:hint="eastAsia"/>
          <w:color w:val="000000" w:themeColor="text1"/>
          <w:sz w:val="28"/>
          <w:szCs w:val="28"/>
          <w14:textFill>
            <w14:solidFill>
              <w14:schemeClr w14:val="tx1"/>
            </w14:solidFill>
          </w14:textFill>
        </w:rPr>
        <w:t>二、 评价委托关系</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_Toc1715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"_Toc26967" </w:instrText>
      </w:r>
      <w:r>
        <w:fldChar w:fldCharType="separate"/>
      </w:r>
      <w:r>
        <w:rPr>
          <w:rFonts w:hint="eastAsia"/>
          <w:color w:val="000000" w:themeColor="text1"/>
          <w:sz w:val="28"/>
          <w:szCs w:val="28"/>
          <w14:textFill>
            <w14:solidFill>
              <w14:schemeClr w14:val="tx1"/>
            </w14:solidFill>
          </w14:textFill>
        </w:rPr>
        <w:t>一、 项目基本情况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_Toc26967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"_Toc14204" </w:instrText>
      </w:r>
      <w:r>
        <w:fldChar w:fldCharType="separate"/>
      </w:r>
      <w:r>
        <w:rPr>
          <w:rFonts w:hint="eastAsia"/>
          <w:color w:val="000000" w:themeColor="text1"/>
          <w:sz w:val="28"/>
          <w:szCs w:val="28"/>
          <w14:textFill>
            <w14:solidFill>
              <w14:schemeClr w14:val="tx1"/>
            </w14:solidFill>
          </w14:textFill>
        </w:rPr>
        <w:t>（一）项目概况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_Toc14204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"_Toc25034" </w:instrText>
      </w:r>
      <w:r>
        <w:fldChar w:fldCharType="separate"/>
      </w:r>
      <w:r>
        <w:rPr>
          <w:rFonts w:hint="eastAsia" w:ascii="宋体" w:hAnsi="宋体"/>
          <w:color w:val="000000" w:themeColor="text1"/>
          <w:sz w:val="28"/>
          <w:szCs w:val="28"/>
          <w14:textFill>
            <w14:solidFill>
              <w14:schemeClr w14:val="tx1"/>
            </w14:solidFill>
          </w14:textFill>
        </w:rPr>
        <w:t>（二）项目绩效目标</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_Toc25034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"_Toc32730" </w:instrText>
      </w:r>
      <w:r>
        <w:fldChar w:fldCharType="separate"/>
      </w:r>
      <w:r>
        <w:rPr>
          <w:rFonts w:ascii="宋体" w:hAnsi="宋体"/>
          <w:color w:val="000000" w:themeColor="text1"/>
          <w:sz w:val="28"/>
          <w:szCs w:val="28"/>
          <w14:textFill>
            <w14:solidFill>
              <w14:schemeClr w14:val="tx1"/>
            </w14:solidFill>
          </w14:textFill>
        </w:rPr>
        <w:t xml:space="preserve">二、 </w:t>
      </w:r>
      <w:r>
        <w:rPr>
          <w:rFonts w:hint="eastAsia" w:ascii="宋体" w:hAnsi="宋体"/>
          <w:color w:val="000000" w:themeColor="text1"/>
          <w:sz w:val="28"/>
          <w:szCs w:val="28"/>
          <w14:textFill>
            <w14:solidFill>
              <w14:schemeClr w14:val="tx1"/>
            </w14:solidFill>
          </w14:textFill>
        </w:rPr>
        <w:t>绩效评价工作情况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_Toc32730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"_Toc32049" </w:instrText>
      </w:r>
      <w:r>
        <w:fldChar w:fldCharType="separate"/>
      </w:r>
      <w:r>
        <w:rPr>
          <w:rFonts w:hint="eastAsia" w:ascii="宋体" w:hAnsi="宋体"/>
          <w:color w:val="000000" w:themeColor="text1"/>
          <w:sz w:val="28"/>
          <w:szCs w:val="28"/>
          <w14:textFill>
            <w14:solidFill>
              <w14:schemeClr w14:val="tx1"/>
            </w14:solidFill>
          </w14:textFill>
        </w:rPr>
        <w:t>（一）绩效评价目的</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_Toc32049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"_Toc13131" </w:instrText>
      </w:r>
      <w:r>
        <w:fldChar w:fldCharType="separate"/>
      </w:r>
      <w:r>
        <w:rPr>
          <w:rFonts w:hint="eastAsia" w:ascii="宋体" w:hAnsi="宋体"/>
          <w:bCs/>
          <w:color w:val="000000" w:themeColor="text1"/>
          <w:sz w:val="28"/>
          <w:szCs w:val="28"/>
          <w14:textFill>
            <w14:solidFill>
              <w14:schemeClr w14:val="tx1"/>
            </w14:solidFill>
          </w14:textFill>
        </w:rPr>
        <w:t>（二）绩效评价设计过程</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_Toc13131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"_Toc10381" </w:instrText>
      </w:r>
      <w:r>
        <w:fldChar w:fldCharType="separate"/>
      </w:r>
      <w:r>
        <w:rPr>
          <w:rFonts w:hint="eastAsia" w:ascii="宋体" w:hAnsi="宋体"/>
          <w:color w:val="000000" w:themeColor="text1"/>
          <w:sz w:val="28"/>
          <w:szCs w:val="28"/>
          <w14:textFill>
            <w14:solidFill>
              <w14:schemeClr w14:val="tx1"/>
            </w14:solidFill>
          </w14:textFill>
        </w:rPr>
        <w:t>1、前期准备</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_Toc10381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"_Toc23620" </w:instrText>
      </w:r>
      <w:r>
        <w:fldChar w:fldCharType="separate"/>
      </w:r>
      <w:r>
        <w:rPr>
          <w:rFonts w:hint="eastAsia" w:ascii="宋体" w:hAnsi="宋体"/>
          <w:color w:val="000000" w:themeColor="text1"/>
          <w:sz w:val="28"/>
          <w:szCs w:val="28"/>
          <w14:textFill>
            <w14:solidFill>
              <w14:schemeClr w14:val="tx1"/>
            </w14:solidFill>
          </w14:textFill>
        </w:rPr>
        <w:t>2、绩效评价设计方案</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_Toc23620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"_Toc14358" </w:instrText>
      </w:r>
      <w:r>
        <w:fldChar w:fldCharType="separate"/>
      </w:r>
      <w:r>
        <w:rPr>
          <w:rFonts w:hint="eastAsia" w:ascii="宋体" w:hAnsi="宋体"/>
          <w:color w:val="000000" w:themeColor="text1"/>
          <w:sz w:val="28"/>
          <w:szCs w:val="28"/>
          <w14:textFill>
            <w14:solidFill>
              <w14:schemeClr w14:val="tx1"/>
            </w14:solidFill>
          </w14:textFill>
        </w:rPr>
        <w:t>（三）绩效评价框架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_Toc14358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"_Toc27499" </w:instrText>
      </w:r>
      <w:r>
        <w:fldChar w:fldCharType="separate"/>
      </w:r>
      <w:r>
        <w:rPr>
          <w:rFonts w:hint="eastAsia" w:ascii="宋体" w:hAnsi="宋体"/>
          <w:color w:val="000000" w:themeColor="text1"/>
          <w:sz w:val="28"/>
          <w:szCs w:val="28"/>
          <w14:textFill>
            <w14:solidFill>
              <w14:schemeClr w14:val="tx1"/>
            </w14:solidFill>
          </w14:textFill>
        </w:rPr>
        <w:t>1、评价原则</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_Toc27499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"_Toc14845" </w:instrText>
      </w:r>
      <w:r>
        <w:fldChar w:fldCharType="separate"/>
      </w:r>
      <w:r>
        <w:rPr>
          <w:rFonts w:hint="eastAsia" w:ascii="宋体" w:hAnsi="宋体"/>
          <w:color w:val="000000" w:themeColor="text1"/>
          <w:sz w:val="28"/>
          <w:szCs w:val="28"/>
          <w14:textFill>
            <w14:solidFill>
              <w14:schemeClr w14:val="tx1"/>
            </w14:solidFill>
          </w14:textFill>
        </w:rPr>
        <w:t>2、评价指标体系</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_Toc14845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"_Toc7622" </w:instrText>
      </w:r>
      <w:r>
        <w:fldChar w:fldCharType="separate"/>
      </w:r>
      <w:r>
        <w:rPr>
          <w:rFonts w:hint="eastAsia" w:ascii="宋体" w:hAnsi="宋体"/>
          <w:bCs/>
          <w:color w:val="000000" w:themeColor="text1"/>
          <w:sz w:val="28"/>
          <w:szCs w:val="28"/>
          <w14:textFill>
            <w14:solidFill>
              <w14:schemeClr w14:val="tx1"/>
            </w14:solidFill>
          </w14:textFill>
        </w:rPr>
        <w:t>3、绩效标准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_Toc7622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"_Toc10335" </w:instrText>
      </w:r>
      <w:r>
        <w:fldChar w:fldCharType="separate"/>
      </w:r>
      <w:r>
        <w:rPr>
          <w:rFonts w:hint="eastAsia" w:ascii="宋体" w:hAnsi="宋体"/>
          <w:bCs/>
          <w:color w:val="000000" w:themeColor="text1"/>
          <w:sz w:val="28"/>
          <w:szCs w:val="28"/>
          <w14:textFill>
            <w14:solidFill>
              <w14:schemeClr w14:val="tx1"/>
            </w14:solidFill>
          </w14:textFill>
        </w:rPr>
        <w:t>4、评价方法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_Toc10335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25</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"_Toc14693" </w:instrText>
      </w:r>
      <w:r>
        <w:fldChar w:fldCharType="separate"/>
      </w:r>
      <w:r>
        <w:rPr>
          <w:rFonts w:hint="eastAsia" w:ascii="宋体" w:hAnsi="宋体"/>
          <w:color w:val="000000" w:themeColor="text1"/>
          <w:sz w:val="28"/>
          <w:szCs w:val="28"/>
          <w14:textFill>
            <w14:solidFill>
              <w14:schemeClr w14:val="tx1"/>
            </w14:solidFill>
          </w14:textFill>
        </w:rPr>
        <w:t>（四）证据收集方法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_Toc14693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"_Toc15312" </w:instrText>
      </w:r>
      <w:r>
        <w:fldChar w:fldCharType="separate"/>
      </w:r>
      <w:r>
        <w:rPr>
          <w:rFonts w:hint="eastAsia" w:ascii="宋体" w:hAnsi="宋体"/>
          <w:bCs/>
          <w:color w:val="000000" w:themeColor="text1"/>
          <w:sz w:val="28"/>
          <w:szCs w:val="28"/>
          <w14:textFill>
            <w14:solidFill>
              <w14:schemeClr w14:val="tx1"/>
            </w14:solidFill>
          </w14:textFill>
        </w:rPr>
        <w:t>1、案卷研究</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_Toc15312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"_Toc31818" </w:instrText>
      </w:r>
      <w:r>
        <w:fldChar w:fldCharType="separate"/>
      </w:r>
      <w:r>
        <w:rPr>
          <w:rFonts w:hint="eastAsia" w:ascii="宋体" w:hAnsi="宋体"/>
          <w:bCs/>
          <w:color w:val="000000" w:themeColor="text1"/>
          <w:sz w:val="28"/>
          <w:szCs w:val="28"/>
          <w14:textFill>
            <w14:solidFill>
              <w14:schemeClr w14:val="tx1"/>
            </w14:solidFill>
          </w14:textFill>
        </w:rPr>
        <w:t>2、问卷调查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_Toc31818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"_Toc27419" </w:instrText>
      </w:r>
      <w:r>
        <w:fldChar w:fldCharType="separate"/>
      </w:r>
      <w:r>
        <w:rPr>
          <w:rFonts w:hint="eastAsia" w:ascii="宋体" w:hAnsi="宋体"/>
          <w:bCs/>
          <w:color w:val="000000" w:themeColor="text1"/>
          <w:sz w:val="28"/>
          <w:szCs w:val="28"/>
          <w14:textFill>
            <w14:solidFill>
              <w14:schemeClr w14:val="tx1"/>
            </w14:solidFill>
          </w14:textFill>
        </w:rPr>
        <w:t>3、访谈</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_Toc27419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"_Toc14235" </w:instrText>
      </w:r>
      <w:r>
        <w:fldChar w:fldCharType="separate"/>
      </w:r>
      <w:r>
        <w:rPr>
          <w:rFonts w:hint="eastAsia" w:ascii="宋体" w:hAnsi="宋体"/>
          <w:bCs/>
          <w:color w:val="000000" w:themeColor="text1"/>
          <w:sz w:val="28"/>
          <w:szCs w:val="28"/>
          <w14:textFill>
            <w14:solidFill>
              <w14:schemeClr w14:val="tx1"/>
            </w14:solidFill>
          </w14:textFill>
        </w:rPr>
        <w:t>4、座谈会</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_Toc14235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"_Toc18991" </w:instrText>
      </w:r>
      <w:r>
        <w:fldChar w:fldCharType="separate"/>
      </w:r>
      <w:r>
        <w:rPr>
          <w:rFonts w:hint="eastAsia" w:ascii="宋体" w:hAnsi="宋体"/>
          <w:bCs/>
          <w:color w:val="000000" w:themeColor="text1"/>
          <w:sz w:val="28"/>
          <w:szCs w:val="28"/>
          <w14:textFill>
            <w14:solidFill>
              <w14:schemeClr w14:val="tx1"/>
            </w14:solidFill>
          </w14:textFill>
        </w:rPr>
        <w:t>5、电子邮箱</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_Toc18991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"_Toc8551" </w:instrText>
      </w:r>
      <w:r>
        <w:fldChar w:fldCharType="separate"/>
      </w:r>
      <w:r>
        <w:rPr>
          <w:rFonts w:hint="eastAsia" w:ascii="宋体" w:hAnsi="宋体"/>
          <w:color w:val="000000" w:themeColor="text1"/>
          <w:sz w:val="28"/>
          <w:szCs w:val="28"/>
          <w14:textFill>
            <w14:solidFill>
              <w14:schemeClr w14:val="tx1"/>
            </w14:solidFill>
          </w14:textFill>
        </w:rPr>
        <w:t>（五）绩效评价实施过程</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_Toc8551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"_Toc18772" </w:instrText>
      </w:r>
      <w:r>
        <w:fldChar w:fldCharType="separate"/>
      </w:r>
      <w:r>
        <w:rPr>
          <w:rFonts w:hint="eastAsia" w:ascii="宋体" w:hAnsi="宋体"/>
          <w:color w:val="000000" w:themeColor="text1"/>
          <w:sz w:val="28"/>
          <w:szCs w:val="28"/>
          <w14:textFill>
            <w14:solidFill>
              <w14:schemeClr w14:val="tx1"/>
            </w14:solidFill>
          </w14:textFill>
        </w:rPr>
        <w:t>（六）本次绩效评价的局限性</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_Toc18772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"_Toc31103" </w:instrText>
      </w:r>
      <w:r>
        <w:fldChar w:fldCharType="separate"/>
      </w:r>
      <w:r>
        <w:rPr>
          <w:rFonts w:hint="eastAsia" w:ascii="宋体" w:hAnsi="宋体"/>
          <w:color w:val="000000" w:themeColor="text1"/>
          <w:sz w:val="28"/>
          <w:szCs w:val="28"/>
          <w14:textFill>
            <w14:solidFill>
              <w14:schemeClr w14:val="tx1"/>
            </w14:solidFill>
          </w14:textFill>
        </w:rPr>
        <w:t>三、 绩效分析及评价结论</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_Toc31103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"_Toc7960" </w:instrText>
      </w:r>
      <w:r>
        <w:fldChar w:fldCharType="separate"/>
      </w:r>
      <w:r>
        <w:rPr>
          <w:rFonts w:hint="eastAsia" w:ascii="宋体" w:hAnsi="宋体"/>
          <w:color w:val="000000" w:themeColor="text1"/>
          <w:sz w:val="28"/>
          <w:szCs w:val="28"/>
          <w14:textFill>
            <w14:solidFill>
              <w14:schemeClr w14:val="tx1"/>
            </w14:solidFill>
          </w14:textFill>
        </w:rPr>
        <w:t>（一）绩效分析</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_Toc7960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"_Toc16949" </w:instrText>
      </w:r>
      <w:r>
        <w:fldChar w:fldCharType="separate"/>
      </w:r>
      <w:r>
        <w:rPr>
          <w:rFonts w:hint="eastAsia" w:ascii="宋体" w:hAnsi="宋体"/>
          <w:color w:val="000000" w:themeColor="text1"/>
          <w:sz w:val="28"/>
          <w:szCs w:val="28"/>
          <w14:textFill>
            <w14:solidFill>
              <w14:schemeClr w14:val="tx1"/>
            </w14:solidFill>
          </w14:textFill>
        </w:rPr>
        <w:t>1、投入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_Toc16949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28</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"_Toc14997" </w:instrText>
      </w:r>
      <w:r>
        <w:fldChar w:fldCharType="separate"/>
      </w:r>
      <w:r>
        <w:rPr>
          <w:rFonts w:hint="eastAsia" w:ascii="宋体" w:hAnsi="宋体"/>
          <w:color w:val="000000" w:themeColor="text1"/>
          <w:sz w:val="28"/>
          <w:szCs w:val="28"/>
          <w14:textFill>
            <w14:solidFill>
              <w14:schemeClr w14:val="tx1"/>
            </w14:solidFill>
          </w14:textFill>
        </w:rPr>
        <w:t>2、过程</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_Toc14997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"_Toc5122" </w:instrText>
      </w:r>
      <w:r>
        <w:fldChar w:fldCharType="separate"/>
      </w:r>
      <w:r>
        <w:rPr>
          <w:rFonts w:hint="eastAsia" w:ascii="宋体" w:hAnsi="宋体"/>
          <w:color w:val="000000" w:themeColor="text1"/>
          <w:sz w:val="28"/>
          <w:szCs w:val="28"/>
          <w14:textFill>
            <w14:solidFill>
              <w14:schemeClr w14:val="tx1"/>
            </w14:solidFill>
          </w14:textFill>
        </w:rPr>
        <w:t>3、产出</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_Toc5122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"_Toc18689" </w:instrText>
      </w:r>
      <w:r>
        <w:fldChar w:fldCharType="separate"/>
      </w:r>
      <w:r>
        <w:rPr>
          <w:rFonts w:hint="eastAsia" w:ascii="宋体" w:hAnsi="宋体"/>
          <w:color w:val="000000" w:themeColor="text1"/>
          <w:sz w:val="28"/>
          <w:szCs w:val="28"/>
          <w14:textFill>
            <w14:solidFill>
              <w14:schemeClr w14:val="tx1"/>
            </w14:solidFill>
          </w14:textFill>
        </w:rPr>
        <w:t>4、效果</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_Toc18689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6"/>
        <w:tabs>
          <w:tab w:val="right" w:leader="dot" w:pos="8640"/>
        </w:tabs>
        <w:snapToGrid w:val="0"/>
        <w:spacing w:line="360" w:lineRule="auto"/>
        <w:ind w:left="840"/>
        <w:rPr>
          <w:color w:val="000000" w:themeColor="text1"/>
          <w:sz w:val="28"/>
          <w:szCs w:val="28"/>
          <w14:textFill>
            <w14:solidFill>
              <w14:schemeClr w14:val="tx1"/>
            </w14:solidFill>
          </w14:textFill>
        </w:rPr>
      </w:pPr>
      <w:r>
        <w:fldChar w:fldCharType="begin"/>
      </w:r>
      <w:r>
        <w:instrText xml:space="preserve"> HYPERLINK \l "_Toc2911" </w:instrText>
      </w:r>
      <w:r>
        <w:fldChar w:fldCharType="separate"/>
      </w:r>
      <w:r>
        <w:rPr>
          <w:rFonts w:hint="eastAsia" w:ascii="宋体" w:hAnsi="宋体"/>
          <w:color w:val="000000" w:themeColor="text1"/>
          <w:sz w:val="28"/>
          <w:szCs w:val="28"/>
          <w14:textFill>
            <w14:solidFill>
              <w14:schemeClr w14:val="tx1"/>
            </w14:solidFill>
          </w14:textFill>
        </w:rPr>
        <w:t>5、绩效目标完成情况分析</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_Toc2911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"_Toc28840" </w:instrText>
      </w:r>
      <w:r>
        <w:fldChar w:fldCharType="separate"/>
      </w:r>
      <w:r>
        <w:rPr>
          <w:rFonts w:hint="eastAsia" w:ascii="宋体" w:hAnsi="宋体"/>
          <w:bCs/>
          <w:color w:val="000000" w:themeColor="text1"/>
          <w:sz w:val="28"/>
          <w:szCs w:val="28"/>
          <w14:textFill>
            <w14:solidFill>
              <w14:schemeClr w14:val="tx1"/>
            </w14:solidFill>
          </w14:textFill>
        </w:rPr>
        <w:t>（二）评价结论</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_Toc28840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"_Toc2640" </w:instrText>
      </w:r>
      <w:r>
        <w:fldChar w:fldCharType="separate"/>
      </w:r>
      <w:r>
        <w:rPr>
          <w:rFonts w:hint="eastAsia" w:ascii="宋体" w:hAnsi="宋体"/>
          <w:color w:val="000000" w:themeColor="text1"/>
          <w:sz w:val="28"/>
          <w:szCs w:val="28"/>
          <w14:textFill>
            <w14:solidFill>
              <w14:schemeClr w14:val="tx1"/>
            </w14:solidFill>
          </w14:textFill>
        </w:rPr>
        <w:t>四、 主要经验及做法、存在的问题和建议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_Toc2640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"_Toc13502" </w:instrText>
      </w:r>
      <w:r>
        <w:fldChar w:fldCharType="separate"/>
      </w:r>
      <w:r>
        <w:rPr>
          <w:rFonts w:hint="eastAsia" w:ascii="宋体" w:hAnsi="宋体"/>
          <w:color w:val="000000" w:themeColor="text1"/>
          <w:sz w:val="28"/>
          <w:szCs w:val="28"/>
          <w14:textFill>
            <w14:solidFill>
              <w14:schemeClr w14:val="tx1"/>
            </w14:solidFill>
          </w14:textFill>
        </w:rPr>
        <w:t>（一）主要经验及做法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_Toc13502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37</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"_Toc4985" </w:instrText>
      </w:r>
      <w:r>
        <w:fldChar w:fldCharType="separate"/>
      </w:r>
      <w:r>
        <w:rPr>
          <w:rFonts w:hint="eastAsia"/>
          <w:bCs/>
          <w:color w:val="000000" w:themeColor="text1"/>
          <w:sz w:val="28"/>
          <w:szCs w:val="28"/>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存在</w:t>
      </w:r>
      <w:r>
        <w:rPr>
          <w:rFonts w:hint="eastAsia" w:ascii="宋体" w:hAnsi="宋体"/>
          <w:color w:val="000000" w:themeColor="text1"/>
          <w:sz w:val="28"/>
          <w:szCs w:val="28"/>
          <w14:textFill>
            <w14:solidFill>
              <w14:schemeClr w14:val="tx1"/>
            </w14:solidFill>
          </w14:textFill>
        </w:rPr>
        <w:t>的问题</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_Toc4985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5"/>
        <w:tabs>
          <w:tab w:val="right" w:leader="dot" w:pos="8640"/>
        </w:tabs>
        <w:snapToGrid w:val="0"/>
        <w:spacing w:line="360" w:lineRule="auto"/>
        <w:ind w:left="420"/>
        <w:rPr>
          <w:color w:val="000000" w:themeColor="text1"/>
          <w:sz w:val="28"/>
          <w:szCs w:val="28"/>
          <w14:textFill>
            <w14:solidFill>
              <w14:schemeClr w14:val="tx1"/>
            </w14:solidFill>
          </w14:textFill>
        </w:rPr>
      </w:pPr>
      <w:r>
        <w:fldChar w:fldCharType="begin"/>
      </w:r>
      <w:r>
        <w:instrText xml:space="preserve"> HYPERLINK \l "_Toc20644" </w:instrText>
      </w:r>
      <w:r>
        <w:fldChar w:fldCharType="separate"/>
      </w:r>
      <w:r>
        <w:rPr>
          <w:rFonts w:hint="eastAsia" w:ascii="宋体" w:hAnsi="宋体"/>
          <w:color w:val="000000" w:themeColor="text1"/>
          <w:sz w:val="28"/>
          <w:szCs w:val="28"/>
          <w14:textFill>
            <w14:solidFill>
              <w14:schemeClr w14:val="tx1"/>
            </w14:solidFill>
          </w14:textFill>
        </w:rPr>
        <w:t>（三）建议</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_Toc20644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rPr>
          <w:color w:val="000000" w:themeColor="text1"/>
          <w:sz w:val="28"/>
          <w:szCs w:val="28"/>
          <w14:textFill>
            <w14:solidFill>
              <w14:schemeClr w14:val="tx1"/>
            </w14:solidFill>
          </w14:textFill>
        </w:rPr>
      </w:pPr>
      <w:r>
        <w:fldChar w:fldCharType="begin"/>
      </w:r>
      <w:r>
        <w:instrText xml:space="preserve"> HYPERLINK \l "_Toc29370" </w:instrText>
      </w:r>
      <w:r>
        <w:fldChar w:fldCharType="separate"/>
      </w:r>
      <w:r>
        <w:rPr>
          <w:rFonts w:hint="eastAsia"/>
          <w:bCs/>
          <w:color w:val="000000" w:themeColor="text1"/>
          <w:kern w:val="2"/>
          <w:sz w:val="28"/>
          <w:szCs w:val="28"/>
          <w14:textFill>
            <w14:solidFill>
              <w14:schemeClr w14:val="tx1"/>
            </w14:solidFill>
          </w14:textFill>
        </w:rPr>
        <w:t xml:space="preserve">五、 </w:t>
      </w:r>
      <w:r>
        <w:rPr>
          <w:rFonts w:hint="eastAsia" w:ascii="宋体" w:hAnsi="宋体"/>
          <w:bCs/>
          <w:color w:val="000000" w:themeColor="text1"/>
          <w:sz w:val="28"/>
          <w:szCs w:val="28"/>
          <w14:textFill>
            <w14:solidFill>
              <w14:schemeClr w14:val="tx1"/>
            </w14:solidFill>
          </w14:textFill>
        </w:rPr>
        <w:t>其他需说明的问题</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_Toc29370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43</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4"/>
        <w:tabs>
          <w:tab w:val="right" w:leader="dot" w:pos="8640"/>
        </w:tabs>
        <w:snapToGrid w:val="0"/>
        <w:spacing w:line="360" w:lineRule="auto"/>
        <w:ind w:firstLine="600" w:firstLineChars="300"/>
        <w:rPr>
          <w:color w:val="000000" w:themeColor="text1"/>
          <w:sz w:val="28"/>
          <w:szCs w:val="28"/>
          <w14:textFill>
            <w14:solidFill>
              <w14:schemeClr w14:val="tx1"/>
            </w14:solidFill>
          </w14:textFill>
        </w:rPr>
      </w:pPr>
      <w:r>
        <w:fldChar w:fldCharType="begin"/>
      </w:r>
      <w:r>
        <w:instrText xml:space="preserve"> HYPERLINK \l "_Toc18324" </w:instrText>
      </w:r>
      <w:r>
        <w:fldChar w:fldCharType="separate"/>
      </w:r>
      <w:r>
        <w:rPr>
          <w:rFonts w:hint="eastAsia" w:ascii="宋体" w:hAnsi="宋体"/>
          <w:color w:val="000000" w:themeColor="text1"/>
          <w:sz w:val="28"/>
          <w:szCs w:val="28"/>
          <w14:textFill>
            <w14:solidFill>
              <w14:schemeClr w14:val="tx1"/>
            </w14:solidFill>
          </w14:textFill>
        </w:rPr>
        <w:t>附件:绩效评价指标体系</w:t>
      </w:r>
      <w:r>
        <w:rPr>
          <w:rFonts w:hint="eastAsia" w:ascii="宋体" w:hAnsi="宋体"/>
          <w:color w:val="000000" w:themeColor="text1"/>
          <w:sz w:val="28"/>
          <w:szCs w:val="28"/>
          <w14:textFill>
            <w14:solidFill>
              <w14:schemeClr w14:val="tx1"/>
            </w14:solidFill>
          </w14:textFill>
        </w:rPr>
        <w:fldChar w:fldCharType="end"/>
      </w:r>
    </w:p>
    <w:p>
      <w:pPr>
        <w:snapToGrid w:val="0"/>
        <w:spacing w:line="360" w:lineRule="auto"/>
        <w:jc w:val="center"/>
        <w:rPr>
          <w:rFonts w:ascii="宋体" w:hAnsi="宋体"/>
          <w:b/>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fldChar w:fldCharType="end"/>
      </w:r>
    </w:p>
    <w:p>
      <w:pPr>
        <w:jc w:val="center"/>
        <w:rPr>
          <w:rFonts w:ascii="宋体" w:hAnsi="宋体"/>
          <w:b/>
          <w:bCs/>
          <w:color w:val="000000" w:themeColor="text1"/>
          <w:sz w:val="28"/>
          <w:szCs w:val="28"/>
          <w14:textFill>
            <w14:solidFill>
              <w14:schemeClr w14:val="tx1"/>
            </w14:solidFill>
          </w14:textFill>
        </w:rPr>
      </w:pPr>
    </w:p>
    <w:p>
      <w:pPr>
        <w:jc w:val="center"/>
        <w:outlineLvl w:val="0"/>
        <w:rPr>
          <w:rFonts w:ascii="宋体" w:hAnsi="宋体"/>
          <w:b/>
          <w:bCs/>
          <w:color w:val="000000" w:themeColor="text1"/>
          <w:sz w:val="44"/>
          <w:szCs w:val="44"/>
          <w14:textFill>
            <w14:solidFill>
              <w14:schemeClr w14:val="tx1"/>
            </w14:solidFill>
          </w14:textFill>
        </w:rPr>
        <w:sectPr>
          <w:headerReference r:id="rId3" w:type="default"/>
          <w:footerReference r:id="rId4" w:type="default"/>
          <w:pgSz w:w="12240" w:h="15840"/>
          <w:pgMar w:top="1610" w:right="1800" w:bottom="1440" w:left="1800" w:header="851" w:footer="992" w:gutter="0"/>
          <w:cols w:space="720" w:num="1"/>
          <w:docGrid w:type="lines" w:linePitch="312" w:charSpace="0"/>
        </w:sectPr>
      </w:pPr>
      <w:bookmarkStart w:id="0" w:name="_Toc21374"/>
    </w:p>
    <w:p>
      <w:pPr>
        <w:jc w:val="center"/>
        <w:outlineLvl w:val="0"/>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摘 要</w:t>
      </w:r>
      <w:bookmarkEnd w:id="0"/>
    </w:p>
    <w:p>
      <w:pPr>
        <w:numPr>
          <w:ilvl w:val="0"/>
          <w:numId w:val="1"/>
        </w:numPr>
        <w:ind w:firstLine="562" w:firstLineChars="200"/>
        <w:outlineLvl w:val="0"/>
        <w:rPr>
          <w:rFonts w:ascii="宋体" w:hAnsi="宋体"/>
          <w:b/>
          <w:bCs/>
          <w:color w:val="000000" w:themeColor="text1"/>
          <w:sz w:val="28"/>
          <w:szCs w:val="28"/>
          <w14:textFill>
            <w14:solidFill>
              <w14:schemeClr w14:val="tx1"/>
            </w14:solidFill>
          </w14:textFill>
        </w:rPr>
      </w:pPr>
      <w:bookmarkStart w:id="1" w:name="_Toc3084"/>
      <w:r>
        <w:rPr>
          <w:rFonts w:hint="eastAsia" w:ascii="宋体" w:hAnsi="宋体"/>
          <w:b/>
          <w:bCs/>
          <w:color w:val="000000" w:themeColor="text1"/>
          <w:sz w:val="28"/>
          <w:szCs w:val="28"/>
          <w14:textFill>
            <w14:solidFill>
              <w14:schemeClr w14:val="tx1"/>
            </w14:solidFill>
          </w14:textFill>
        </w:rPr>
        <w:t>概述</w:t>
      </w:r>
      <w:bookmarkEnd w:id="1"/>
    </w:p>
    <w:p>
      <w:pPr>
        <w:spacing w:line="48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为建立激励机制，突出绩效导向，体现奖优扶优的原则，增强部门财政资金绩效管理水平，引导各地区深化改革、加强管理，根据《预算法》、《甘肃省财政专项扶贫资金使用管理实施办法》（甘财农二[2007]41号）、《甘肃省省级财政专项资金管理办法》（甘财办[2014]22号）、《甘肃省妇女工作专项经费使用管理办法》（甘妇发[2014]56号）、《甘肃省“巾帼扶贫车间”专项资金管理暂行办法》（甘妇发[2019]8号）、《中共甘肃省委 甘肃省人民政府关于全面实施预算绩效管理的实施意见》、《省妇联关于做好“巾帼扶贫车间”财政专项资金绩效评价工作的通知》等文件要求对2021年度</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olor w:val="000000" w:themeColor="text1"/>
          <w:sz w:val="28"/>
          <w:szCs w:val="28"/>
          <w14:textFill>
            <w14:solidFill>
              <w14:schemeClr w14:val="tx1"/>
            </w14:solidFill>
          </w14:textFill>
        </w:rPr>
        <w:t xml:space="preserve">项目进行了绩效评价，按照考核指标对甘肃省12个市州及兰州新区妇女联合会进行了绩效评价。                        </w:t>
      </w:r>
    </w:p>
    <w:p>
      <w:pPr>
        <w:numPr>
          <w:ilvl w:val="0"/>
          <w:numId w:val="1"/>
        </w:numPr>
        <w:ind w:firstLine="562" w:firstLineChars="200"/>
        <w:outlineLvl w:val="0"/>
        <w:rPr>
          <w:rFonts w:ascii="宋体" w:hAnsi="宋体"/>
          <w:bCs/>
          <w:color w:val="000000" w:themeColor="text1"/>
          <w:sz w:val="28"/>
          <w:szCs w:val="28"/>
          <w14:textFill>
            <w14:solidFill>
              <w14:schemeClr w14:val="tx1"/>
            </w14:solidFill>
          </w14:textFill>
        </w:rPr>
      </w:pPr>
      <w:bookmarkStart w:id="2" w:name="_Toc5059"/>
      <w:r>
        <w:rPr>
          <w:rFonts w:hint="eastAsia" w:ascii="宋体" w:hAnsi="宋体"/>
          <w:b/>
          <w:bCs/>
          <w:color w:val="000000" w:themeColor="text1"/>
          <w:sz w:val="28"/>
          <w:szCs w:val="28"/>
          <w14:textFill>
            <w14:solidFill>
              <w14:schemeClr w14:val="tx1"/>
            </w14:solidFill>
          </w14:textFill>
        </w:rPr>
        <w:t>评价结论</w:t>
      </w:r>
      <w:bookmarkEnd w:id="2"/>
    </w:p>
    <w:p>
      <w:pPr>
        <w:widowControl/>
        <w:ind w:firstLine="560" w:firstLineChars="200"/>
        <w:rPr>
          <w:rFonts w:ascii="宋体" w:hAnsi="宋体"/>
          <w:color w:val="000000" w:themeColor="text1"/>
          <w:sz w:val="15"/>
          <w:szCs w:val="15"/>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2021年度“巾帼扶贫车间”财政专项扶贫资金800万元，其中：“巾帼扶贫车间”奖补665万元、举办“巾帼扶贫车间”骨干培训班126.08万元，防疫奖补资金10万元，专项资金按时足额拨付。资金使用率为100%，通过对绩效评价得分加权平均全省综合得分为96.40分，评价等级为优。</w:t>
      </w:r>
    </w:p>
    <w:p>
      <w:pPr>
        <w:pStyle w:val="4"/>
        <w:numPr>
          <w:ilvl w:val="0"/>
          <w:numId w:val="1"/>
        </w:numPr>
        <w:spacing w:line="360" w:lineRule="auto"/>
        <w:ind w:firstLine="562" w:firstLineChars="200"/>
        <w:rPr>
          <w:rFonts w:ascii="宋体" w:hAnsi="宋体" w:eastAsia="宋体" w:cs="宋体"/>
          <w:color w:val="000000" w:themeColor="text1"/>
          <w:sz w:val="28"/>
          <w:szCs w:val="28"/>
          <w14:textFill>
            <w14:solidFill>
              <w14:schemeClr w14:val="tx1"/>
            </w14:solidFill>
          </w14:textFill>
        </w:rPr>
      </w:pPr>
      <w:bookmarkStart w:id="3" w:name="_Toc24805"/>
      <w:r>
        <w:rPr>
          <w:rFonts w:hint="eastAsia" w:ascii="宋体" w:hAnsi="宋体" w:eastAsia="宋体" w:cs="宋体"/>
          <w:color w:val="000000" w:themeColor="text1"/>
          <w:sz w:val="28"/>
          <w:szCs w:val="28"/>
          <w14:textFill>
            <w14:solidFill>
              <w14:schemeClr w14:val="tx1"/>
            </w14:solidFill>
          </w14:textFill>
        </w:rPr>
        <w:t>评价建议</w:t>
      </w:r>
      <w:bookmarkEnd w:id="3"/>
    </w:p>
    <w:p>
      <w:pPr>
        <w:spacing w:line="36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 进一步健全绩效评价机制建设，规范评价工作的组织领导及实施程序，深化部门合作，逐步形成由行政管理、技术支持、第三方参与的绩效评价模式；</w:t>
      </w:r>
    </w:p>
    <w:p>
      <w:pPr>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 进一步完善绩效评价体系，依托省级部门加强对绩效考核的管理，绩效指标的效用，保证绩效评价的科学性、连续性和可行性；</w:t>
      </w:r>
    </w:p>
    <w:p>
      <w:pPr>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 进一步强化绩效评价工作，通过本次绩效评价，发现各地区所提供资料不够完善，对指标体系的理解不规范，建议开展绩效评价培训，加强绩效评价基础工作，完善工作程序及资料填报以达到绩效评价工作要求。</w:t>
      </w:r>
    </w:p>
    <w:p>
      <w:pPr>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br w:type="page"/>
      </w:r>
      <w:bookmarkStart w:id="4" w:name="_Toc9053"/>
      <w:r>
        <w:rPr>
          <w:rStyle w:val="37"/>
          <w:rFonts w:hint="eastAsia"/>
          <w:color w:val="000000" w:themeColor="text1"/>
          <w14:textFill>
            <w14:solidFill>
              <w14:schemeClr w14:val="tx1"/>
            </w14:solidFill>
          </w14:textFill>
        </w:rPr>
        <w:t>前 言</w:t>
      </w:r>
      <w:bookmarkEnd w:id="4"/>
    </w:p>
    <w:p>
      <w:pPr>
        <w:pStyle w:val="4"/>
        <w:numPr>
          <w:numId w:val="0"/>
        </w:numPr>
        <w:ind w:firstLine="562" w:firstLineChars="200"/>
        <w:rPr>
          <w:rFonts w:ascii="宋体" w:hAnsi="宋体" w:eastAsia="宋体" w:cs="宋体"/>
          <w:color w:val="000000" w:themeColor="text1"/>
          <w:sz w:val="28"/>
          <w:szCs w:val="28"/>
          <w14:textFill>
            <w14:solidFill>
              <w14:schemeClr w14:val="tx1"/>
            </w14:solidFill>
          </w14:textFill>
        </w:rPr>
      </w:pPr>
      <w:bookmarkStart w:id="5" w:name="_Toc6730"/>
      <w:r>
        <w:rPr>
          <w:rFonts w:hint="eastAsia" w:ascii="宋体" w:hAnsi="宋体" w:eastAsia="宋体" w:cs="宋体"/>
          <w:color w:val="000000" w:themeColor="text1"/>
          <w:sz w:val="28"/>
          <w:szCs w:val="28"/>
          <w:lang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开展绩效评价的背景</w:t>
      </w:r>
      <w:bookmarkEnd w:id="5"/>
    </w:p>
    <w:p>
      <w:pPr>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为深入贯彻落实省委、省政府关于巩固拓展脱贫攻坚成果同乡村振兴有效衔接的新部署、新要求，扎实推进“乡村振兴巾帼行动”，对2021年度巾帼扶贫车间项目按照考核指标对甘肃省12个市州及兰州新区妇女联合会进行了绩效评价，要求各级妇联严格执行《甘肃省“巾帼扶贫车间”专项资金管理暂行办法》（甘妇发[2019]8号）、《中共甘肃省委 甘肃省人民政府关于全面实施预算绩效管理的实施意见》、《省妇联关于做好“巾帼扶贫车间”财政专项资金绩效评价工作的通知》</w:t>
      </w:r>
      <w:r>
        <w:rPr>
          <w:rFonts w:ascii="宋体" w:hAnsi="宋体"/>
          <w:color w:val="000000" w:themeColor="text1"/>
          <w:sz w:val="28"/>
          <w:szCs w:val="28"/>
          <w14:textFill>
            <w14:solidFill>
              <w14:schemeClr w14:val="tx1"/>
            </w14:solidFill>
          </w14:textFill>
        </w:rPr>
        <w:t>相关规定，确保专项经费安全有效使用，真正做到专款专用、专项管理，不得用于与</w:t>
      </w:r>
      <w:r>
        <w:rPr>
          <w:rFonts w:hint="eastAsia" w:ascii="宋体" w:hAnsi="宋体"/>
          <w:color w:val="000000" w:themeColor="text1"/>
          <w:sz w:val="28"/>
          <w:szCs w:val="28"/>
          <w14:textFill>
            <w14:solidFill>
              <w14:schemeClr w14:val="tx1"/>
            </w14:solidFill>
          </w14:textFill>
        </w:rPr>
        <w:t>“巾帼扶贫车间”</w:t>
      </w:r>
      <w:r>
        <w:rPr>
          <w:rFonts w:ascii="宋体" w:hAnsi="宋体"/>
          <w:color w:val="000000" w:themeColor="text1"/>
          <w:sz w:val="28"/>
          <w:szCs w:val="28"/>
          <w14:textFill>
            <w14:solidFill>
              <w14:schemeClr w14:val="tx1"/>
            </w14:solidFill>
          </w14:textFill>
        </w:rPr>
        <w:t>无关的支出。</w:t>
      </w:r>
    </w:p>
    <w:p>
      <w:pPr>
        <w:pStyle w:val="4"/>
        <w:numPr>
          <w:numId w:val="0"/>
        </w:numPr>
        <w:spacing w:line="360" w:lineRule="auto"/>
        <w:ind w:firstLine="562" w:firstLineChars="200"/>
        <w:rPr>
          <w:rFonts w:ascii="宋体" w:hAnsi="宋体" w:eastAsia="宋体" w:cs="宋体"/>
          <w:color w:val="000000" w:themeColor="text1"/>
          <w:sz w:val="28"/>
          <w:szCs w:val="28"/>
          <w14:textFill>
            <w14:solidFill>
              <w14:schemeClr w14:val="tx1"/>
            </w14:solidFill>
          </w14:textFill>
        </w:rPr>
      </w:pPr>
      <w:bookmarkStart w:id="6" w:name="_Toc1715"/>
      <w:r>
        <w:rPr>
          <w:rFonts w:hint="eastAsia" w:ascii="宋体" w:hAnsi="宋体" w:eastAsia="宋体" w:cs="宋体"/>
          <w:color w:val="000000" w:themeColor="text1"/>
          <w:sz w:val="28"/>
          <w:szCs w:val="28"/>
          <w:lang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评价委托关系</w:t>
      </w:r>
      <w:bookmarkEnd w:id="6"/>
    </w:p>
    <w:p>
      <w:pPr>
        <w:spacing w:line="360" w:lineRule="auto"/>
        <w:ind w:firstLine="560" w:firstLineChars="200"/>
        <w:jc w:val="left"/>
        <w:rPr>
          <w:rFonts w:ascii="宋体" w:hAnsi="宋体"/>
          <w:b/>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甘肃省妇女联合会委托甘肃中强会计师事务有限公司对甘肃省2021年度“巾帼扶贫车间”项目专项资金进行绩效评价。                                                                                                                                                                                                                                                                                                                                                                                                                                                                                                                                                                                                                                                                                                                                                                                                                                                                                                                                                                                                                                                                                 </w:t>
      </w:r>
      <w:r>
        <w:rPr>
          <w:rFonts w:hint="eastAsia" w:ascii="宋体" w:hAnsi="宋体"/>
          <w:b/>
          <w:bCs/>
          <w:color w:val="000000" w:themeColor="text1"/>
          <w:sz w:val="28"/>
          <w:szCs w:val="28"/>
          <w14:textFill>
            <w14:solidFill>
              <w14:schemeClr w14:val="tx1"/>
            </w14:solidFill>
          </w14:textFill>
        </w:rPr>
        <w:br w:type="page"/>
      </w:r>
      <w:bookmarkStart w:id="7" w:name="_Toc26967"/>
      <w:r>
        <w:rPr>
          <w:rFonts w:hint="eastAsia" w:ascii="宋体" w:hAnsi="宋体"/>
          <w:b/>
          <w:bCs/>
          <w:color w:val="000000" w:themeColor="text1"/>
          <w:sz w:val="28"/>
          <w:szCs w:val="28"/>
          <w14:textFill>
            <w14:solidFill>
              <w14:schemeClr w14:val="tx1"/>
            </w14:solidFill>
          </w14:textFill>
        </w:rPr>
        <w:t xml:space="preserve">    一、项目基本情况</w:t>
      </w:r>
      <w:bookmarkEnd w:id="7"/>
    </w:p>
    <w:p>
      <w:pPr>
        <w:widowControl/>
        <w:spacing w:line="480" w:lineRule="auto"/>
        <w:ind w:firstLine="562" w:firstLineChars="200"/>
        <w:outlineLvl w:val="1"/>
        <w:rPr>
          <w:rFonts w:ascii="宋体" w:hAnsi="宋体"/>
          <w:b/>
          <w:bCs/>
          <w:color w:val="000000" w:themeColor="text1"/>
          <w:sz w:val="28"/>
          <w:szCs w:val="28"/>
          <w14:textFill>
            <w14:solidFill>
              <w14:schemeClr w14:val="tx1"/>
            </w14:solidFill>
          </w14:textFill>
        </w:rPr>
      </w:pPr>
      <w:bookmarkStart w:id="8" w:name="_Toc14204"/>
      <w:r>
        <w:rPr>
          <w:rFonts w:hint="eastAsia" w:ascii="宋体" w:hAnsi="宋体"/>
          <w:b/>
          <w:bCs/>
          <w:color w:val="000000" w:themeColor="text1"/>
          <w:sz w:val="28"/>
          <w:szCs w:val="28"/>
          <w14:textFill>
            <w14:solidFill>
              <w14:schemeClr w14:val="tx1"/>
            </w14:solidFill>
          </w14:textFill>
        </w:rPr>
        <w:t>（一）项目概况</w:t>
      </w:r>
      <w:bookmarkEnd w:id="8"/>
    </w:p>
    <w:p>
      <w:pPr>
        <w:widowControl/>
        <w:spacing w:line="480" w:lineRule="auto"/>
        <w:ind w:firstLine="557" w:firstLineChars="198"/>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1.项目立项背景</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2021年起，围绕省委省政府关于巩固拓展脱贫攻坚成果同乡村振兴有效衔接最新安排部署，省妇联“巾帼扶贫车间”项目将重点提升</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olor w:val="000000" w:themeColor="text1"/>
          <w:sz w:val="28"/>
          <w:szCs w:val="28"/>
          <w14:textFill>
            <w14:solidFill>
              <w14:schemeClr w14:val="tx1"/>
            </w14:solidFill>
          </w14:textFill>
        </w:rPr>
        <w:t>建设运行质量，促进</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olor w:val="000000" w:themeColor="text1"/>
          <w:sz w:val="28"/>
          <w:szCs w:val="28"/>
          <w14:textFill>
            <w14:solidFill>
              <w14:schemeClr w14:val="tx1"/>
            </w14:solidFill>
          </w14:textFill>
        </w:rPr>
        <w:t>健康持续发展，主要支持车间妇联组织建设、扶持“巾帼扶贫车间”发展、奖励带动效果突出的“巾帼扶贫车间”、开展妇女创业培训、外出对接车间订单等，预计提升全省“巾帼扶贫车间”管理运行质量，“巾帼扶贫车间”基本建立妇女组织200人次，培树优秀“巾帼扶贫车间”80个，巾帼扶贫车间建立200个，各级妇联组织要紧紧围绕党政中心工作，提升“巾帼扶贫车间”建设运行质量，将广大妇女紧紧团结在乡村振兴主战场上，把妇女工作的触角延伸到广大妇女的身边，在妇女就业帮扶中彰显巾帼特色。</w:t>
      </w:r>
    </w:p>
    <w:p>
      <w:pPr>
        <w:widowControl/>
        <w:spacing w:line="480" w:lineRule="auto"/>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2.项目实施情况                                                                                                                                                                                                                                                                                                                                                                                                </w:t>
      </w:r>
    </w:p>
    <w:p>
      <w:pPr>
        <w:widowControl/>
        <w:spacing w:line="48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（1）定西市：2021年省妇联共为定西市 14个“巾帼扶贫车间”拨付扶持奖励资金84万元，“巾帼扶贫车间”骨干培训班培训资金26.24万元，共计110.24万元。其中“巾帼扶贫车间”扶持奖励5万元、7万元、9万元的巾帼扶贫车间分别是8个、5个、1个；骨干培训班培训资金已全部支出，资金主要用于</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s="宋体"/>
          <w:color w:val="000000" w:themeColor="text1"/>
          <w:sz w:val="28"/>
          <w:szCs w:val="28"/>
          <w14:textFill>
            <w14:solidFill>
              <w14:schemeClr w14:val="tx1"/>
            </w14:solidFill>
          </w14:textFill>
        </w:rPr>
        <w:t>对接工作、车间人员技能培训、开展“五个一”活动等工作。项目的实施，为持续推进“巾帼扶贫车间”带动脱贫低收入妇女就业增收发挥了重要作用，14 个“巾帼扶贫车间”受益人数达 1780 余人，月平均收入 1500-3000元，不断增加了家庭收入，切实助力全市乡村振兴。渭源县莲峰镇韩家河社种植</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s="宋体"/>
          <w:color w:val="000000" w:themeColor="text1"/>
          <w:sz w:val="28"/>
          <w:szCs w:val="28"/>
          <w14:textFill>
            <w14:solidFill>
              <w14:schemeClr w14:val="tx1"/>
            </w14:solidFill>
          </w14:textFill>
        </w:rPr>
        <w:t xml:space="preserve"> 2021 年经营性收入 123.5万元，带动 246 名妇女就业，其中脱贫妇女 42人；省妇联 2021 年“巾帼扶贫车间”骨干能力提升（渭源县）培训班，培训已在车间就业妇女和农村富余女劳动力100人，培训结束后，学员全部吸纳到渭源县卓峰箱包巾帼扶贫车间就业，平均每人每月增加收入2500元以上。漳县4个车间合计吸纳妇女稳定就业650余人，季节性就业月300余人，月收入约达到 1500-3000 元。</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75"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5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漳县何家源蔬菜种植巾帼扶贫车间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漳县希望工贸锡纸加工巾帼扶贫车间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临洮县榕发服装智造巾帼扶贫车间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渭源县莲峰镇韩家河社种植巾帼扶贫车间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安定区红玖辣椒产业巾帼扶贫车间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漳县翊申服装加工巾帼扶贫车间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陇西县晨鑫源箱包制造巾帼扶贫车间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漳县石川镇食用菌产业园巾帼扶贫车间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临洮县丰源鲜储巾帼扶贫车间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通渭县探越服装服饰加工巾帼扶贫车间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岷县源祥中药材种植加工巾帼扶贫车间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临洮县新锋达箱包制造巾帼扶贫车间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临洮县洮河香业巾帼扶贫车间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岷县宏祥中药材购销巾帼扶贫车间</w:t>
            </w:r>
          </w:p>
        </w:tc>
        <w:tc>
          <w:tcPr>
            <w:tcW w:w="1455" w:type="dxa"/>
            <w:vAlign w:val="center"/>
          </w:tcPr>
          <w:p>
            <w:pPr>
              <w:widowControl/>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blHeader/>
        </w:trPr>
        <w:tc>
          <w:tcPr>
            <w:tcW w:w="969"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110.24</w:t>
            </w:r>
          </w:p>
        </w:tc>
      </w:tr>
    </w:tbl>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平凉市：2021年，省妇联共下拨平凉市“巾帼扶贫车间”项目资金80万元，通过项目资金的扶持，有力促进了“巾帼扶贫车间”在疫情期间复工复产，扩大了车间生产经营规模，实现了产值增加、效益提升。按照“企业+车间+妇联+</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妇女”发展模式，目前全市75个车间直接带动妇女就业3462人，实现年产值18360.55万元。依托</w:t>
      </w:r>
      <w:r>
        <w:rPr>
          <w:rFonts w:hint="eastAsia" w:ascii="宋体" w:hAnsi="宋体"/>
          <w:bCs/>
          <w:color w:val="000000" w:themeColor="text1"/>
          <w:sz w:val="28"/>
          <w:szCs w:val="28"/>
          <w14:textFill>
            <w14:solidFill>
              <w14:schemeClr w14:val="tx1"/>
            </w14:solidFill>
          </w14:textFill>
        </w:rPr>
        <w:t>“巾帼扶贫车间”</w:t>
      </w:r>
      <w:r>
        <w:rPr>
          <w:rFonts w:hint="eastAsia" w:ascii="宋体" w:hAnsi="宋体" w:cs="宋体"/>
          <w:color w:val="000000" w:themeColor="text1"/>
          <w:sz w:val="28"/>
          <w:szCs w:val="28"/>
          <w14:textFill>
            <w14:solidFill>
              <w14:schemeClr w14:val="tx1"/>
            </w14:solidFill>
          </w14:textFill>
        </w:rPr>
        <w:t>开展“五个一”活动，提高了就业妇女素质，提升了就业创业技能，增强了广大妇女群众就业增收的信心，为巾帼扶车间持续发展增添了动力。</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75"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5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庄浪县墨方渔具鱼饵销售巾帼扶贫车间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灵台县金沃森双孢菇生产巾帼扶贫车间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静宁县国草药业巾帼扶贫车间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泾川县宝成彩虹果品种植巾帼扶贫车间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庄浪县新宏制衣巾帼扶贫车间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庄浪县卧龙镇孙河村宫灯制作巾帼扶贫车间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泾川县富原红果品巾帼扶贫车间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泾川县鸣龙服装加工巾帼扶贫车间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灵台县振兴布艺加工巾帼扶贫车间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庄浪县臧巴拉服饰加工巾帼扶贫车间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庄浪县圣宝泽服饰加工巾帼扶贫车间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静宁县曼丝实业服装加工巾帼扶贫车间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灵台县富鑫农牧场苹果包装巾帼扶贫车间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崆峒区上杨乡宫灯加工巾帼扶贫车间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80</w:t>
            </w:r>
          </w:p>
        </w:tc>
      </w:tr>
    </w:tbl>
    <w:p>
      <w:pPr>
        <w:spacing w:line="576"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庆阳市：2021年度受到省妇联财政专项资金扶持的是华池县、宁县2个县，共10个“巾帼扶贫车间”，扶持资金总额68万元，占全市车间总数的31%，举办骨干培训班获得骨干培训班专项资金9.60万元，共计77.60万元。对“巾帼扶贫车间”扶持奖励资金全部用于“车间”女工技能提升培训、开展“五个一”创建活动及市场对接。</w:t>
      </w:r>
    </w:p>
    <w:p>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其中对宁县彩霞香包制作巾帼扶贫车间等9个“巾帼扶贫车间”扶持奖励总计63万元。华池县享受全省巾帼扶贫车间奖补资金的车间共1个，为华池县恒烽中药材苗林巾帼扶贫车间，享受资金金额为5万元，严格按资金用途做到专款专用。全市享受专项资金扶持的10个车间共带动3000多名妇女就地就近就业，其中脱贫妇女125名，人均月增收2500元，年增收22000元以上，实现了“车间设在家门口、持家创收两不误”和“足不出户，就地致富”的目标，解决了脱贫妇女“顾家、务农、赚钱”相互矛盾的问题，提升了妇女增收致富的内生动力，提升了车间经济效益和工人技术水平，使“车间”感受到党和政府的温暖，增强了加速发展、带动妇女创业就业信心。</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7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5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宁县彩霞香包制作巾帼扶贫车间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宁县海升现代农业巾帼扶贫车间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宁县惠湘灵韵文化产业巾帼扶贫车间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宁县庆新果业巾帼扶贫车间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宁县平子镇旭瀚电子线材加工巾帼扶贫车间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宁县川庆劳动防护用品巾帼扶贫车间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宁县伊人绣纺鞋业巾帼扶贫车间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宁县鑫露伞业巾帼扶贫车间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华池县恒烽中药材苗林巾帼扶贫车间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宁县天和扶葡萄种植巾帼扶贫车间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blHeader/>
        </w:trPr>
        <w:tc>
          <w:tcPr>
            <w:tcW w:w="969"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607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blHeader/>
        </w:trPr>
        <w:tc>
          <w:tcPr>
            <w:tcW w:w="7044" w:type="dxa"/>
            <w:gridSpan w:val="2"/>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77.60</w:t>
            </w:r>
          </w:p>
        </w:tc>
      </w:tr>
    </w:tbl>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陇南市：2021年省妇联共下拨陇南市“巾帼扶贫车间”9个,奖补资金55万元，“巾帼扶贫车间”骨干培训班专项资金6.40万元，疫情防控奖补资金3万元，共计64.40万元；主要用于女工技能培训、开展“五个一”创建活动及市场对接。其中给宕昌县哈达铺拥军鞋有限公司等4个“巾帼扶贫车间”下达专项资金共22万，文县众鑫和集装袋生产加工等3个巾帼扶贫车间专项资金17万元，西和县汉源镇美辰服装有限公司等2个“巾帼扶贫车间”专项资金16万元，这些“巾帼扶贫车间”的建立及发展，帮助支持留守妇女掌握一技之长，增强致富的信心和干劲。全市“巾帼扶贫车间”积极吸纳就业妇女，增加妇女收入，实现了妇女就地就近务工，从根本上解决了增收问题。在帮助村内及周边留守妇女劳动力实现就近就地就业的同时，既满足了照顾儿童和老人、增加家庭收入的双重需求，又从根本上解决了农村</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妇女兼顾家庭就业难的矛盾。</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1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blHeader/>
        </w:trPr>
        <w:tc>
          <w:tcPr>
            <w:tcW w:w="969" w:type="dxa"/>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100"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30"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西和县巧女旅游文化巾帼扶贫车间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宕昌县八力乡大东山中药材加工巾帼扶贫车间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文县中寨纹党产区代元巾帼扶贫车间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西和县美辰服装加工巾帼扶贫车间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文县众鑫和集装袋生产加工巾帼扶贫车间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宕昌县南阳良诚农特产品巾帼扶贫车间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文县餱橘豆类种植巾帼扶贫车间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宕昌县兴昌蜂业科技巾帼扶贫车间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宕昌县红色巧手鞋业加工巾帼扶贫车间</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疫情防控奖补资金</w:t>
            </w: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甘肃兆丰农业开发有限责任公司</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甘肃良源农业有限责任公司</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0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甘肃陇源阳光能源开发有限公司</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blHeader/>
        </w:trPr>
        <w:tc>
          <w:tcPr>
            <w:tcW w:w="969"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6100"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69" w:type="dxa"/>
            <w:gridSpan w:val="2"/>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143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64.40</w:t>
            </w:r>
          </w:p>
        </w:tc>
      </w:tr>
    </w:tbl>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临夏州：2021年，临夏州共落实“巾帼扶贫车间”财政专项资金共141.60万元，其中“巾帼扶贫车间”接受省妇联财政专项奖补资金114万元，“巾帼扶贫车间”骨干培训班专项资金25.60万元，疫情防控奖补资金2万元；主要包括：</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2021年8月，省妇联扶持奖励2021年度“巾帼扶贫车间”18个，共114万元。主要有对东乡县凤凰山服装生产巾帼扶贫车间等2个车间各奖励9万元，共18万元；对临夏州厦琳鞋业巾帼扶贫车间等8个车间各奖励7万元，共56万元；对甘肃叶之漫商贸有限公司等8个车间各奖励5万元，共40万元。</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2021年11月，2021年省妇联扶持奖励疫情期间表现突出的甘肃新善友医疗器械有限公司、甘肃亿元火王电器有限公司“巾帼扶贫车间”各1万元，共2万元。</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巾帼扶贫车间”骨干培训班专项资金25.60万。“巾帼扶贫车间”的扶持奖励资金，用于推动巾帼扶贫车间妇联组织建设及车间“五个一”建设和女工技能培训等。在和政县，厦琳鞋业巾帼扶贫车间2021年按照年度培训计划指定月度培训计划，共计培训正式员工150人次，历时3个月的技能培训，通过现场实操检验，全部人员均能掌握培训内容。积石山县叶之漫品牌服装加工巾帼扶贫车间2021年按照年度培训计划指定月度培训计划，共计培训正式员工200人次，通过现场实操检验，全部人员均能掌握培训内容，经转正考试合格，现已进入岗位独立操作。康乐县新华牧业巾帼扶贫车间糕点生产线应季销售“康乐糕点”达60万粒，实现销售收入斤350万元，带动用工42人，发放工资近27.72万元，人均收入6600元。技能培训不仅改变了她们的旧观念思想，就业增收更提高了妇女们的社会地位，真正让巾帼扶贫车间</w:t>
      </w:r>
      <w:r>
        <w:rPr>
          <w:rFonts w:hint="eastAsia" w:ascii="宋体" w:hAnsi="宋体" w:cs="宋体"/>
          <w:color w:val="000000" w:themeColor="text1"/>
          <w:sz w:val="28"/>
          <w:szCs w:val="28"/>
          <w:lang w:eastAsia="zh-CN"/>
          <w14:textFill>
            <w14:solidFill>
              <w14:schemeClr w14:val="tx1"/>
            </w14:solidFill>
          </w14:textFill>
        </w:rPr>
        <w:t>成为</w:t>
      </w:r>
      <w:r>
        <w:rPr>
          <w:rFonts w:hint="eastAsia" w:ascii="宋体" w:hAnsi="宋体" w:cs="宋体"/>
          <w:color w:val="000000" w:themeColor="text1"/>
          <w:sz w:val="28"/>
          <w:szCs w:val="28"/>
          <w14:textFill>
            <w14:solidFill>
              <w14:schemeClr w14:val="tx1"/>
            </w14:solidFill>
          </w14:textFill>
        </w:rPr>
        <w:t>致富车间。全州各县市均严格按专项资金管理使用办法的要求，认真坚持专款专用原则。</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597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blHeader/>
        </w:trPr>
        <w:tc>
          <w:tcPr>
            <w:tcW w:w="969" w:type="dxa"/>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5977"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553"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广河县燕之屋食品半制品加工巾帼扶贫车间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东乡县凤凰山服装生产巾帼扶贫车间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广河县吉明鞋业巾帼扶贫车间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东乡县美佳雨具生产巾帼扶贫车间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临夏州厦琳鞋业巾帼扶贫车间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东乡县南阳洼编织袋生产加工巾帼扶贫车间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广河县西裕工贸服装生产巾帼扶贫车间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康乐县新华牧业巾帼扶贫车间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临夏州吉美包袋巾帼扶贫车间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积石山县亿元火王电灶加工巾帼扶贫车间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积石山县拓奇服装加工巾帼扶贫车间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东乡县拱北湾村服饰加工巾帼扶贫车间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积石山县叶之漫品牌服装加工巾帼扶贫车间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广河县君冠帽业三甲集易地搬迁康家巾帼扶贫车间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康乐县胭脂梦巾帼扶贫车间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广河县美达扶贫服饰巾帼扶贫车间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东乡县祥盛苑手工编织巾帼扶贫车间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5977"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广河县诚信窗帘布艺加工巾帼扶贫车间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blHeader/>
        </w:trPr>
        <w:tc>
          <w:tcPr>
            <w:tcW w:w="969" w:type="dxa"/>
            <w:vMerge w:val="restart"/>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疫情防控奖补资金</w:t>
            </w:r>
          </w:p>
        </w:tc>
        <w:tc>
          <w:tcPr>
            <w:tcW w:w="5977" w:type="dxa"/>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甘肃新善友医疗器械有限公司</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blHeader/>
        </w:trPr>
        <w:tc>
          <w:tcPr>
            <w:tcW w:w="969" w:type="dxa"/>
            <w:vMerge w:val="continue"/>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c>
          <w:tcPr>
            <w:tcW w:w="5977"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甘肃亿元火王电器有限公司巾帼扶贫车间</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trPr>
        <w:tc>
          <w:tcPr>
            <w:tcW w:w="969"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5977"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blHeader/>
        </w:trPr>
        <w:tc>
          <w:tcPr>
            <w:tcW w:w="6946" w:type="dxa"/>
            <w:gridSpan w:val="2"/>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55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141.60</w:t>
            </w:r>
          </w:p>
        </w:tc>
      </w:tr>
    </w:tbl>
    <w:p>
      <w:pPr>
        <w:numPr>
          <w:ilvl w:val="0"/>
          <w:numId w:val="2"/>
        </w:numPr>
        <w:spacing w:line="576"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天水市：2021年天水市所辖区域“巾帼扶贫车间”接受省妇联财政专项资金补贴共51万元，2021年省妇联奖补10月份以来落实新冠疫情防控效果突出的“车间”4个，每个车间1万元，共4万元，巾帼扶贫车间”骨干培训班专项资金14.40万，共计69.40万元。主要包括：</w:t>
      </w:r>
    </w:p>
    <w:p>
      <w:pPr>
        <w:spacing w:line="576"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获省妇联专项扶持奖励资金带动妇女就业效果突出、运行管理良好的“巾帼扶贫车间”13个，共计4万元；扶持奖励资金5万元的“车间”6个，共计30万元；扶持奖励资金7万元的“车间”3个，共计21万元。奖励扶持资金专款专用，全部用于“车间”女工技能培训、开展“五个一”创建活动及市场对接等方面，未产生车间设备采购、流动资金和其它与“车间”妇女工作无关的支出。2021年底，全市共有“巾帼扶贫车间”134家，带动就业人数6809人，其中已脱贫妇女3043人，人均月收入达2000元左右，有效解决了因疫情不能外出务工妇女和进城陪读家长、农村居家脱贫妇女等群体的就业增收问题。</w:t>
      </w:r>
    </w:p>
    <w:p>
      <w:pPr>
        <w:spacing w:line="576"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按照省妇联关于举办“巾帼扶贫车间”骨干培训班的通知要求，甘谷县甘肃零玖叁捌就业帮扶车间培训骨干100人，专项资金8万元，全部用于对年龄在18-55周岁的妇女进行缝纫加工技能提升培训，培训对象为车间原有脱贫妇女和农村低收入妇女，为期3天培训。使车间原有的困难户妇女，在“进的来，稳得住”的基础上，将车间实操技术掌握的更加熟练，加强了车间手工人才队伍建设，为车间长期稳定发展提供了保障。省妇联“巾帼扶贫车间”财政专项资金的政策扶持，让受疫情影响的企业持续壮大发展，为本村、邻近村更多低收入提供就业岗位和机会，带动更多妇女和家庭创业增收。</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46"/>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blHeader/>
        </w:trPr>
        <w:tc>
          <w:tcPr>
            <w:tcW w:w="969" w:type="dxa"/>
          </w:tcPr>
          <w:p>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46"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84"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甘谷县零玖叁捌服饰生产巾帼扶贫车间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秦安县闫家沟果品种植巾帼扶贫车间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清水县土门镇梁山村服装加工巾帼扶贫车间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甘谷县西坪服装加工巾帼扶贫车间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甘谷县陇姜源蔬菜加工巾帼扶贫车间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张家川县雄峰电子科技巾帼扶贫车间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张家川县银润服饰巾帼扶贫车间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秦安县王燕种植巾帼扶贫车间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麦积区众兴菌业二分厂巾帼扶贫车间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防疫奖补资金</w:t>
            </w: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武山县肖丝路服装加工有限公司巾帼扶贫车间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秦安县梦源果品有限公司巾帼扶贫车间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天水盈麦香食品有限公司巾帼扶贫车间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甘肃雅路人麻编工艺制品发展有限公司巾帼扶贫车间</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blHeader/>
        </w:trPr>
        <w:tc>
          <w:tcPr>
            <w:tcW w:w="969"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骨干培训资金</w:t>
            </w:r>
          </w:p>
        </w:tc>
        <w:tc>
          <w:tcPr>
            <w:tcW w:w="6046"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14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blHeader/>
        </w:trPr>
        <w:tc>
          <w:tcPr>
            <w:tcW w:w="7015" w:type="dxa"/>
            <w:gridSpan w:val="2"/>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84"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69.40</w:t>
            </w:r>
          </w:p>
        </w:tc>
      </w:tr>
    </w:tbl>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酒泉市：2021年酒泉市实施“巾帼扶贫车间”项目11个、项目资金51万元，“巾帼扶贫车间”骨干培训班专项资金7.84万元，共计58.84万元。主要包括：在瓜州县建设高标准巾帼扶贫车间5个，肃州区巾帼扶持车间项目实施单位为2个，玉门市巾帼扶贫车间1个，金塔县巾帼扶贫车间项目实施单位3个。“巾帼扶贫车间”项目切实在巩固脱贫攻坚成果、助力乡村振兴方面发挥作用，有效解决了农村妇女“顾家、务农、赚钱”相矛盾的问题，实现妇女在家门口就业增收。在项目带动下，累计开展技能培训33场次，培训妇女1300余人次（其中：残疾妇女180余人次），吸纳1900多名妇女就地就近就业（其中：</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妇女400余人），带动妇女人均年增收10000元以上。同时，按照“妇联组织建在产业链上”工作思路，11家“巾帼扶贫车间”均成立妇女组织，实行亮牌服务。根据车间妇女需求，积极开展“五个一”创建活动，利用农闲时节开展党的十九届五中、六中全会精神宣讲，举办疫情防控知识、妇女健康知识、家风家教故事分享、巾帼维权知识普及等讲座，开展“巾帼助力美丽家园清洁行动”“姐妹生产互助关爱帮扶”、“巾帼暖夕阳”关爱慰问孤寡老人等活动。</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596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blHeader/>
        </w:trPr>
        <w:tc>
          <w:tcPr>
            <w:tcW w:w="969" w:type="dxa"/>
            <w:tcBorders>
              <w:bottom w:val="single" w:color="auto" w:sz="4" w:space="0"/>
            </w:tcBorders>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5968"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562"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blHeader/>
        </w:trPr>
        <w:tc>
          <w:tcPr>
            <w:tcW w:w="96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玉门市大畅河农业示范园区联合巾帼扶贫车间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酒泉市齐诚蔬菜加工巾帼扶贫车间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lang w:val="zh-TW" w:eastAsia="zh-TW"/>
                <w14:textFill>
                  <w14:solidFill>
                    <w14:schemeClr w14:val="tx1"/>
                  </w14:solidFill>
                </w14:textFill>
              </w:rPr>
            </w:pPr>
            <w:r>
              <w:rPr>
                <w:rFonts w:ascii="宋体" w:hAnsi="宋体" w:cs="宋体"/>
                <w:color w:val="000000" w:themeColor="text1"/>
                <w:sz w:val="24"/>
                <w:szCs w:val="24"/>
                <w14:textFill>
                  <w14:solidFill>
                    <w14:schemeClr w14:val="tx1"/>
                  </w14:solidFill>
                </w14:textFill>
              </w:rPr>
              <w:t>瓜州县世纪红枸杞产业巾帼扶贫车间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lang w:val="zh-TW" w:eastAsia="zh-TW"/>
                <w14:textFill>
                  <w14:solidFill>
                    <w14:schemeClr w14:val="tx1"/>
                  </w14:solidFill>
                </w14:textFill>
              </w:rPr>
            </w:pPr>
            <w:r>
              <w:rPr>
                <w:rFonts w:ascii="宋体" w:hAnsi="宋体" w:cs="宋体"/>
                <w:color w:val="000000" w:themeColor="text1"/>
                <w:sz w:val="24"/>
                <w:szCs w:val="24"/>
                <w14:textFill>
                  <w14:solidFill>
                    <w14:schemeClr w14:val="tx1"/>
                  </w14:solidFill>
                </w14:textFill>
              </w:rPr>
              <w:t>瓜州县万物生态农业巾帼扶贫车间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金塔县金农乐园农特产品加工巾帼扶贫车间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肃州区丰乐镇巧姐手工坊巾帼扶贫车间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金塔县金剪刀手工制作巾帼扶贫车间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金塔县润丰农牧业巾帼扶贫车间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瓜州县鑫红温室蔬菜种植巾帼扶贫车间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trPr>
        <w:tc>
          <w:tcPr>
            <w:tcW w:w="969" w:type="dxa"/>
            <w:vMerge w:val="continue"/>
            <w:tcBorders>
              <w:left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瓜州县科远食用菌巾帼扶贫车间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trPr>
        <w:tc>
          <w:tcPr>
            <w:tcW w:w="969"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瓜州县东昇农业科技巾帼扶贫车间</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blHeader/>
        </w:trPr>
        <w:tc>
          <w:tcPr>
            <w:tcW w:w="9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骨干培训资金</w:t>
            </w:r>
          </w:p>
        </w:tc>
        <w:tc>
          <w:tcPr>
            <w:tcW w:w="5968" w:type="dxa"/>
            <w:tcBorders>
              <w:left w:val="single" w:color="auto" w:sz="4" w:space="0"/>
            </w:tcBorders>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6937" w:type="dxa"/>
            <w:gridSpan w:val="2"/>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562" w:type="dxa"/>
            <w:vAlign w:val="center"/>
          </w:tcPr>
          <w:p>
            <w:pPr>
              <w:jc w:val="center"/>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58.84</w:t>
            </w:r>
          </w:p>
        </w:tc>
      </w:tr>
    </w:tbl>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张掖市：2021年省妇联拨付张掖市财政专项资金89万元，主要包括：受益“巾帼扶贫车间”为18家，其中为17家“车间”发放奖补扶持资金81万元，拨付“巾帼扶贫车间”骨干培训班培训经费8万元，由1家“车间”组织实施，共计89万元。奖补资金使用于3家手工编织企业、6家农业产业合作社、6家食品深加工企业、2家服装企业。扶持资金主要都用于车间工人技能提升培训、车间原材料购置以及“五个一”活动的开展，未出现设备购置等和与项目无关的开支。“巾帼扶贫车间”骨干培训班培由肃南县高原红文化发展有限公司组织实施，共开展手工骨干培训3期，培训妇女100人，真正让受训妇女熟练掌握并提升了民族刺绣制作技能。在临泽县丝路绿洲有机农业有限责任公司“巾帼扶贫车间”公司就近吸纳妇女600余人在基地务工，带动50多名妇女成为产业工人在基地稳定就业，每月固定工资在3600元左右，在促进农村妇女就近务工的同时，降低了企业用工成本，取得了公司农户“双赢”。</w:t>
      </w:r>
      <w:r>
        <w:rPr>
          <w:rFonts w:ascii="宋体" w:hAnsi="宋体" w:cs="宋体"/>
          <w:color w:val="000000" w:themeColor="text1"/>
          <w:sz w:val="28"/>
          <w:szCs w:val="28"/>
          <w14:textFill>
            <w14:solidFill>
              <w14:schemeClr w14:val="tx1"/>
            </w14:solidFill>
          </w14:textFill>
        </w:rPr>
        <w:t>山丹</w:t>
      </w:r>
      <w:r>
        <w:rPr>
          <w:rFonts w:hint="eastAsia" w:ascii="宋体" w:hAnsi="宋体" w:cs="宋体"/>
          <w:color w:val="000000" w:themeColor="text1"/>
          <w:sz w:val="28"/>
          <w:szCs w:val="28"/>
          <w14:textFill>
            <w14:solidFill>
              <w14:schemeClr w14:val="tx1"/>
            </w14:solidFill>
          </w14:textFill>
        </w:rPr>
        <w:t>县“巾帼就业车间”海兰达服饰有限公司县妇联引领组织低收入妇女到就业车间培训就业，吸纳脱贫户11人，残疾人3人，平均月工资在3000元左右。并利用专项奖补扶持资金开办免费培训班20场次，阶段性培训学徒30余人，专题学习10余场次，职工关爱活动5场次，女职工集体生日宴会12次，有效提振广大女职工“自尊、自爱、自强、自立”的精气神，实现“陪读、顾家、挣钱”三不误的目标。高台县九发民间手工制品专业合作社“巾帼扶贫车间”通过开展掐丝彩岩画制作技能提升培训，培训妇女45人，其中脱贫低收入妇女30人，通过培训合格后与29名妇女签订订单制作协议，实现了月均增收1600元的目标。受奖补的多家“巾帼扶贫车间”利用奖补资金购置了必需的生产耗材，培训了技术骨干，组织开展内容丰富的“五个一”活动，提高了从业妇女提高生产积极性和工作效率，推动规范运行，有效提升企业综合竞争力和抵御市场风险的能力，经济效益明显提升, 为企业扩大生产经营和带动脱贫妇女增收致富奠定了坚实的基础，推进了妇联系统</w:t>
      </w:r>
      <w:r>
        <w:rPr>
          <w:rFonts w:hint="eastAsia" w:ascii="宋体" w:hAnsi="宋体" w:cs="宋体"/>
          <w:color w:val="000000" w:themeColor="text1"/>
          <w:sz w:val="28"/>
          <w:szCs w:val="28"/>
          <w:lang w:eastAsia="zh-CN"/>
          <w14:textFill>
            <w14:solidFill>
              <w14:schemeClr w14:val="tx1"/>
            </w14:solidFill>
          </w14:textFill>
        </w:rPr>
        <w:t>助力乡村振兴</w:t>
      </w:r>
      <w:r>
        <w:rPr>
          <w:rFonts w:hint="eastAsia" w:ascii="宋体" w:hAnsi="宋体" w:cs="宋体"/>
          <w:color w:val="000000" w:themeColor="text1"/>
          <w:sz w:val="28"/>
          <w:szCs w:val="28"/>
          <w14:textFill>
            <w14:solidFill>
              <w14:schemeClr w14:val="tx1"/>
            </w14:solidFill>
          </w14:textFill>
        </w:rPr>
        <w:t>工作。</w:t>
      </w:r>
    </w:p>
    <w:tbl>
      <w:tblPr>
        <w:tblStyle w:val="12"/>
        <w:tblW w:w="86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1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blHeader/>
        </w:trPr>
        <w:tc>
          <w:tcPr>
            <w:tcW w:w="969" w:type="dxa"/>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70"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民乐县银河食品巾帼扶贫车间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甘州区柏杨树农民种植巾帼扶贫车间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甘州区金满园农副产品加工巾帼扶贫车间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张掖市花寨小米种植巾帼扶贫车间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民乐县苗琳薯业巾帼扶贫车间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高台县金土地果蔬种植巾帼扶贫车间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山丹县海兰达服饰巾帼扶贫车间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高台县金康脱水蔬菜巾帼扶贫车间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民乐县九粮酒业巾帼扶贫车间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肃南县画艺手工艺品巾帼扶贫车间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高台县九发妇女民间手工制品巾帼扶贫车间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张掖市清铨手工编织巾帼扶贫车间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临泽县海泓绿色农业产品加工巾帼扶贫车间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民乐县陇上乡村农业科技巾帼扶贫车间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高台县金果生态农牧业巾帼扶贫车间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临泽县丝路绿洲有机农业巾帼扶贫车间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180" w:type="dxa"/>
            <w:vAlign w:val="center"/>
          </w:tcPr>
          <w:p>
            <w:pPr>
              <w:widowControl/>
              <w:ind w:firstLine="720" w:firstLineChars="300"/>
              <w:jc w:val="left"/>
              <w:textAlignment w:val="center"/>
              <w:rPr>
                <w:rFonts w:ascii="CESI仿宋-GB13000" w:hAnsi="CESI仿宋-GB13000" w:eastAsia="CESI仿宋-GB13000" w:cs="CESI仿宋-GB13000"/>
                <w:color w:val="000000" w:themeColor="text1"/>
                <w:sz w:val="16"/>
                <w:szCs w:val="16"/>
                <w14:textFill>
                  <w14:solidFill>
                    <w14:schemeClr w14:val="tx1"/>
                  </w14:solidFill>
                </w14:textFill>
              </w:rPr>
            </w:pPr>
            <w:r>
              <w:rPr>
                <w:rFonts w:ascii="宋体" w:hAnsi="宋体" w:cs="宋体"/>
                <w:color w:val="000000" w:themeColor="text1"/>
                <w:sz w:val="24"/>
                <w:szCs w:val="24"/>
                <w14:textFill>
                  <w14:solidFill>
                    <w14:schemeClr w14:val="tx1"/>
                  </w14:solidFill>
                </w14:textFill>
              </w:rPr>
              <w:t>临泽县峰毓商贸新华服装加工巾帼扶贫车间</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blHeader/>
        </w:trPr>
        <w:tc>
          <w:tcPr>
            <w:tcW w:w="969"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6180"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1470"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149" w:type="dxa"/>
            <w:gridSpan w:val="2"/>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70"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89</w:t>
            </w:r>
          </w:p>
        </w:tc>
      </w:tr>
    </w:tbl>
    <w:p>
      <w:pPr>
        <w:spacing w:line="6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9）白银市：2021年省妇联共拨付白银市扶持奖励资金34.60万元，其中为4家“车间”发放奖补资金20万元，“巾帼扶贫车间”骨干培训班专项资金13.60万，2021年省妇联奖补10月份以来落实新冠疫情防控效果突出的“车间”1个，共1万元，享受扶持奖励政策的“巾帼扶贫车间”共7家，其中会宁县5个，会宁县辛力鱼饵加工厂拨付4万元技能培训资金，其余4个为会宁健民种植专业合作社、会宁县腾致达商贸有限公司、刘寨佳源食品坊、甘肃骏兴农业科技有限责任公司，各拨付奖补资金5万元；景泰县2个，景泰县茂源生态农业发展有限公司“巾帼扶贫车间”拨付奖补资金1万元、景泰县锦源刺绣有限公司拨拨付“巾帼扶贫车间”骨干培训资金9.60万元。白银市“巾帼扶贫车间”扶持奖励资金80%的经费用于围绕“车间”妇女技能培训需求使用支出，主要用于购买培训所需的生产耗材、培训费、新增生产线等相关费用，20%用于“车间”妇女组织开展妇联工作，主要用于制度上墙、“五个一”创建活动的开展。在项目实施期间派专人进行跟踪切监管、追踪问效，并对享受专项资金补助的“巾帼扶贫车间”加强日常督查指导，确保专项资金专款专用。通过项目经费扶持，车间妇女通过参加技能培训，较好地掌握了生产加工技能，为大大提高车间生产效益奠定了“人才基础”。通过经费扶持，组织车间妇女开展“五个一”创建等活动，有效提升“车间”妇女的凝聚力和向心力，良好的“车间”发展环境让脱贫妇女实现了长期稳定就业，脱贫增收。 </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75"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5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会宁县健民农业种植巾帼扶贫车间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会宁县刘寨佳源食品加工巾帼扶贫车间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会宁县腾辉致达商贸巾帼扶贫车间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会宁县骏兴农业科技巾帼扶贫车间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blHeader/>
        </w:trPr>
        <w:tc>
          <w:tcPr>
            <w:tcW w:w="969"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防疫奖补资金</w:t>
            </w:r>
          </w:p>
        </w:tc>
        <w:tc>
          <w:tcPr>
            <w:tcW w:w="607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景泰县茂源生态农业巾帼扶贫车间</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blHeader/>
        </w:trPr>
        <w:tc>
          <w:tcPr>
            <w:tcW w:w="969" w:type="dxa"/>
            <w:vMerge w:val="restart"/>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骨干培训资金</w:t>
            </w:r>
          </w:p>
        </w:tc>
        <w:tc>
          <w:tcPr>
            <w:tcW w:w="607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景泰县锦源刺绣骨干培训班</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9.6</w:t>
            </w:r>
            <w:r>
              <w:rPr>
                <w:rFonts w:hint="eastAsia" w:ascii="宋体" w:hAnsi="宋体" w:cs="宋体"/>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blHeader/>
        </w:trPr>
        <w:tc>
          <w:tcPr>
            <w:tcW w:w="969" w:type="dxa"/>
            <w:vMerge w:val="continue"/>
            <w:vAlign w:val="center"/>
          </w:tcPr>
          <w:p>
            <w:pPr>
              <w:jc w:val="center"/>
              <w:rPr>
                <w:rFonts w:ascii="宋体" w:hAnsi="宋体" w:cs="宋体"/>
                <w:color w:val="000000" w:themeColor="text1"/>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会宁县辛力鱼饵加工厂巾帼扶贫车间</w:t>
            </w:r>
            <w:r>
              <w:rPr>
                <w:rFonts w:hint="eastAsia" w:ascii="宋体" w:hAnsi="宋体" w:cs="宋体"/>
                <w:color w:val="000000" w:themeColor="text1"/>
                <w:sz w:val="24"/>
                <w:szCs w:val="24"/>
                <w14:textFill>
                  <w14:solidFill>
                    <w14:schemeClr w14:val="tx1"/>
                  </w14:solidFill>
                </w14:textFill>
              </w:rPr>
              <w:t>骨干培训班</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blHeader/>
        </w:trPr>
        <w:tc>
          <w:tcPr>
            <w:tcW w:w="7044" w:type="dxa"/>
            <w:gridSpan w:val="2"/>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  计</w:t>
            </w:r>
          </w:p>
        </w:tc>
        <w:tc>
          <w:tcPr>
            <w:tcW w:w="1455"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34.60</w:t>
            </w:r>
          </w:p>
        </w:tc>
      </w:tr>
    </w:tbl>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（10）武威市：</w:t>
      </w:r>
      <w:r>
        <w:rPr>
          <w:rFonts w:ascii="宋体" w:hAnsi="宋体" w:cs="宋体"/>
          <w:color w:val="000000" w:themeColor="text1"/>
          <w:sz w:val="28"/>
          <w:szCs w:val="28"/>
          <w14:textFill>
            <w14:solidFill>
              <w14:schemeClr w14:val="tx1"/>
            </w14:solidFill>
          </w14:textFill>
        </w:rPr>
        <w:t>2021年省妇联拨付</w:t>
      </w:r>
      <w:r>
        <w:rPr>
          <w:rFonts w:hint="eastAsia" w:ascii="宋体" w:hAnsi="宋体" w:cs="宋体"/>
          <w:color w:val="000000" w:themeColor="text1"/>
          <w:sz w:val="28"/>
          <w:szCs w:val="28"/>
          <w14:textFill>
            <w14:solidFill>
              <w14:schemeClr w14:val="tx1"/>
            </w14:solidFill>
          </w14:textFill>
        </w:rPr>
        <w:t>武威</w:t>
      </w:r>
      <w:r>
        <w:rPr>
          <w:rFonts w:ascii="宋体" w:hAnsi="宋体" w:cs="宋体"/>
          <w:color w:val="000000" w:themeColor="text1"/>
          <w:sz w:val="28"/>
          <w:szCs w:val="28"/>
          <w14:textFill>
            <w14:solidFill>
              <w14:schemeClr w14:val="tx1"/>
            </w14:solidFill>
          </w14:textFill>
        </w:rPr>
        <w:t>市“巾帼扶贫车间”奖补扶持资金26万元，</w:t>
      </w:r>
      <w:r>
        <w:rPr>
          <w:rFonts w:hint="eastAsia" w:ascii="宋体" w:hAnsi="宋体" w:cs="宋体"/>
          <w:color w:val="000000" w:themeColor="text1"/>
          <w:sz w:val="28"/>
          <w:szCs w:val="28"/>
          <w14:textFill>
            <w14:solidFill>
              <w14:schemeClr w14:val="tx1"/>
            </w14:solidFill>
          </w14:textFill>
        </w:rPr>
        <w:t>拨付巾帼扶贫车间”骨干培训班专项资金3.20万，享受扶持奖励政策的“巾帼扶贫车间”共4家</w:t>
      </w:r>
      <w:r>
        <w:rPr>
          <w:rFonts w:ascii="宋体" w:hAnsi="宋体" w:cs="宋体"/>
          <w:color w:val="000000" w:themeColor="text1"/>
          <w:sz w:val="28"/>
          <w:szCs w:val="28"/>
          <w14:textFill>
            <w14:solidFill>
              <w14:schemeClr w14:val="tx1"/>
            </w14:solidFill>
          </w14:textFill>
        </w:rPr>
        <w:t>其中：民勤县青土湖肉苁蓉种植“巾帼扶贫车间”7万元、古浪县甘肃精诚金榜服装生产“巾帼扶贫车间”7万元、古浪县陇原巧手地毯编织“巾帼扶贫车间”7万元、天祝县巧红绣手工艺品制作“巾帼扶贫车间”5万元。资金主要用于妇女组织建设、“五个一”活动开展、原材料</w:t>
      </w:r>
      <w:r>
        <w:rPr>
          <w:rFonts w:hint="eastAsia" w:ascii="宋体" w:hAnsi="宋体" w:cs="宋体"/>
          <w:color w:val="000000" w:themeColor="text1"/>
          <w:sz w:val="28"/>
          <w:szCs w:val="28"/>
          <w14:textFill>
            <w14:solidFill>
              <w14:schemeClr w14:val="tx1"/>
            </w14:solidFill>
          </w14:textFill>
        </w:rPr>
        <w:t>、种子</w:t>
      </w:r>
      <w:r>
        <w:rPr>
          <w:rFonts w:ascii="宋体" w:hAnsi="宋体" w:cs="宋体"/>
          <w:color w:val="000000" w:themeColor="text1"/>
          <w:sz w:val="28"/>
          <w:szCs w:val="28"/>
          <w14:textFill>
            <w14:solidFill>
              <w14:schemeClr w14:val="tx1"/>
            </w14:solidFill>
          </w14:textFill>
        </w:rPr>
        <w:t>购买和车间女工岗位技能提升培训、竞赛等。</w:t>
      </w:r>
      <w:r>
        <w:rPr>
          <w:rFonts w:hint="eastAsia" w:ascii="宋体" w:hAnsi="宋体" w:cs="宋体"/>
          <w:color w:val="000000" w:themeColor="text1"/>
          <w:sz w:val="28"/>
          <w:szCs w:val="28"/>
          <w14:textFill>
            <w14:solidFill>
              <w14:schemeClr w14:val="tx1"/>
            </w14:solidFill>
          </w14:textFill>
        </w:rPr>
        <w:t>在天祝县巧红绣手工艺品制作巾帼扶贫车间</w:t>
      </w:r>
      <w:r>
        <w:rPr>
          <w:rFonts w:ascii="宋体" w:hAnsi="宋体" w:cs="宋体"/>
          <w:color w:val="000000" w:themeColor="text1"/>
          <w:sz w:val="28"/>
          <w:szCs w:val="28"/>
          <w14:textFill>
            <w14:solidFill>
              <w14:schemeClr w14:val="tx1"/>
            </w14:solidFill>
          </w14:textFill>
        </w:rPr>
        <w:t>先后组织6项编织技能培训，并为参与培训的247人（次）免费发放编织材料，为他们进行了手把手的免费培训，使他们学得一技之长，实现了就业</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培训基地现有固定车间人员30人，其中</w:t>
      </w:r>
      <w:r>
        <w:rPr>
          <w:rFonts w:hint="eastAsia" w:ascii="宋体" w:hAnsi="宋体" w:cs="宋体"/>
          <w:color w:val="000000" w:themeColor="text1"/>
          <w:sz w:val="28"/>
          <w:szCs w:val="28"/>
          <w14:textFill>
            <w14:solidFill>
              <w14:schemeClr w14:val="tx1"/>
            </w14:solidFill>
          </w14:textFill>
        </w:rPr>
        <w:t>脱贫</w:t>
      </w:r>
      <w:r>
        <w:rPr>
          <w:rFonts w:ascii="宋体" w:hAnsi="宋体" w:cs="宋体"/>
          <w:color w:val="000000" w:themeColor="text1"/>
          <w:sz w:val="28"/>
          <w:szCs w:val="28"/>
          <w14:textFill>
            <w14:solidFill>
              <w14:schemeClr w14:val="tx1"/>
            </w14:solidFill>
          </w14:textFill>
        </w:rPr>
        <w:t>妇女28人，残疾妇女2人</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全市“巾帼扶贫车间”在自身不断发展壮大的同时，积极参与</w:t>
      </w:r>
      <w:r>
        <w:rPr>
          <w:rFonts w:hint="eastAsia" w:ascii="宋体" w:hAnsi="宋体" w:cs="宋体"/>
          <w:color w:val="000000" w:themeColor="text1"/>
          <w:sz w:val="28"/>
          <w:szCs w:val="28"/>
          <w14:textFill>
            <w14:solidFill>
              <w14:schemeClr w14:val="tx1"/>
            </w14:solidFill>
          </w14:textFill>
        </w:rPr>
        <w:t>巩固拓展脱贫攻坚成果同乡村振兴有效衔接乡村振兴</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扶持妇女就业10</w:t>
      </w:r>
      <w:r>
        <w:rPr>
          <w:rFonts w:ascii="宋体" w:hAnsi="宋体" w:cs="宋体"/>
          <w:color w:val="000000" w:themeColor="text1"/>
          <w:sz w:val="28"/>
          <w:szCs w:val="28"/>
          <w14:textFill>
            <w14:solidFill>
              <w14:schemeClr w14:val="tx1"/>
            </w14:solidFill>
          </w14:textFill>
        </w:rPr>
        <w:t>00余人，其中</w:t>
      </w:r>
      <w:r>
        <w:rPr>
          <w:rFonts w:hint="eastAsia" w:ascii="宋体" w:hAnsi="宋体" w:cs="宋体"/>
          <w:color w:val="000000" w:themeColor="text1"/>
          <w:sz w:val="28"/>
          <w:szCs w:val="28"/>
          <w14:textFill>
            <w14:solidFill>
              <w14:schemeClr w14:val="tx1"/>
            </w14:solidFill>
          </w14:textFill>
        </w:rPr>
        <w:t>农村低收入妇女770名</w:t>
      </w:r>
      <w:r>
        <w:rPr>
          <w:rFonts w:ascii="宋体" w:hAnsi="宋体" w:cs="宋体"/>
          <w:color w:val="000000" w:themeColor="text1"/>
          <w:sz w:val="28"/>
          <w:szCs w:val="28"/>
          <w14:textFill>
            <w14:solidFill>
              <w14:schemeClr w14:val="tx1"/>
            </w14:solidFill>
          </w14:textFill>
        </w:rPr>
        <w:t>，月人均纯收入2</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00元左右，“巾帼扶贫车间”最大限度地吸纳</w:t>
      </w:r>
      <w:r>
        <w:rPr>
          <w:rFonts w:hint="eastAsia" w:ascii="宋体" w:hAnsi="宋体" w:cs="宋体"/>
          <w:color w:val="000000" w:themeColor="text1"/>
          <w:sz w:val="28"/>
          <w:szCs w:val="28"/>
          <w14:textFill>
            <w14:solidFill>
              <w14:schemeClr w14:val="tx1"/>
            </w14:solidFill>
          </w14:textFill>
        </w:rPr>
        <w:t>农村</w:t>
      </w:r>
      <w:r>
        <w:rPr>
          <w:rFonts w:ascii="宋体" w:hAnsi="宋体" w:cs="宋体"/>
          <w:color w:val="000000" w:themeColor="text1"/>
          <w:sz w:val="28"/>
          <w:szCs w:val="28"/>
          <w14:textFill>
            <w14:solidFill>
              <w14:schemeClr w14:val="tx1"/>
            </w14:solidFill>
          </w14:textFill>
        </w:rPr>
        <w:t>妇女就近就地就业，实现“车间建起来，姐妹富起来”的效果</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有效解决了</w:t>
      </w:r>
      <w:r>
        <w:rPr>
          <w:rFonts w:hint="eastAsia" w:ascii="宋体" w:hAnsi="宋体" w:cs="宋体"/>
          <w:color w:val="000000" w:themeColor="text1"/>
          <w:sz w:val="28"/>
          <w:szCs w:val="28"/>
          <w14:textFill>
            <w14:solidFill>
              <w14:schemeClr w14:val="tx1"/>
            </w14:solidFill>
          </w14:textFill>
        </w:rPr>
        <w:t>脱贫</w:t>
      </w:r>
      <w:r>
        <w:rPr>
          <w:rFonts w:ascii="宋体" w:hAnsi="宋体" w:cs="宋体"/>
          <w:color w:val="000000" w:themeColor="text1"/>
          <w:sz w:val="28"/>
          <w:szCs w:val="28"/>
          <w14:textFill>
            <w14:solidFill>
              <w14:schemeClr w14:val="tx1"/>
            </w14:solidFill>
          </w14:textFill>
        </w:rPr>
        <w:t>妇女“下地种田、上班挣钱、照顾家庭”的三方矛盾，切实帮助</w:t>
      </w:r>
      <w:r>
        <w:rPr>
          <w:rFonts w:hint="eastAsia" w:ascii="宋体" w:hAnsi="宋体" w:cs="宋体"/>
          <w:color w:val="000000" w:themeColor="text1"/>
          <w:sz w:val="28"/>
          <w:szCs w:val="28"/>
          <w14:textFill>
            <w14:solidFill>
              <w14:schemeClr w14:val="tx1"/>
            </w14:solidFill>
          </w14:textFill>
        </w:rPr>
        <w:t>脱贫</w:t>
      </w:r>
      <w:r>
        <w:rPr>
          <w:rFonts w:ascii="宋体" w:hAnsi="宋体" w:cs="宋体"/>
          <w:color w:val="000000" w:themeColor="text1"/>
          <w:sz w:val="28"/>
          <w:szCs w:val="28"/>
          <w14:textFill>
            <w14:solidFill>
              <w14:schemeClr w14:val="tx1"/>
            </w14:solidFill>
          </w14:textFill>
        </w:rPr>
        <w:t>妇女以技脱贫、以技致富，走出了一条妇女增收、产业发展、企业壮大、多方共赢的脱贫新路子。</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075"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55" w:type="dxa"/>
            <w:vAlign w:val="center"/>
          </w:tcPr>
          <w:p>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widowControl/>
              <w:jc w:val="left"/>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奖补扶持资金</w:t>
            </w: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古浪县精诚金榜实业服装生产巾帼扶贫车间</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widowControl/>
              <w:jc w:val="left"/>
              <w:textAlignment w:val="center"/>
              <w:rPr>
                <w:rFonts w:ascii="宋体" w:hAnsi="宋体" w:cs="宋体"/>
                <w:color w:val="000000" w:themeColor="text1"/>
                <w:kern w:val="0"/>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古浪县陇原巧手手工地毯编织巾帼扶贫车间</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widowControl/>
              <w:jc w:val="left"/>
              <w:textAlignment w:val="center"/>
              <w:rPr>
                <w:rFonts w:ascii="宋体" w:hAnsi="宋体" w:cs="宋体"/>
                <w:color w:val="000000" w:themeColor="text1"/>
                <w:kern w:val="0"/>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民勤县青土湖肉苁蓉种植巾帼扶贫车间</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widowControl/>
              <w:jc w:val="left"/>
              <w:textAlignment w:val="center"/>
              <w:rPr>
                <w:rFonts w:ascii="宋体" w:hAnsi="宋体" w:cs="宋体"/>
                <w:color w:val="000000" w:themeColor="text1"/>
                <w:kern w:val="0"/>
                <w:sz w:val="24"/>
                <w:szCs w:val="24"/>
                <w14:textFill>
                  <w14:solidFill>
                    <w14:schemeClr w14:val="tx1"/>
                  </w14:solidFill>
                </w14:textFill>
              </w:rPr>
            </w:pP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天祝县巧红绣手工艺品制作巾帼扶贫车间</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blHeader/>
        </w:trPr>
        <w:tc>
          <w:tcPr>
            <w:tcW w:w="969" w:type="dxa"/>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607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骨干培训班</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  计</w:t>
            </w:r>
          </w:p>
        </w:tc>
        <w:tc>
          <w:tcPr>
            <w:tcW w:w="1455"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29.20</w:t>
            </w:r>
          </w:p>
        </w:tc>
      </w:tr>
    </w:tbl>
    <w:p>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甘南州：2021年度省妇联扶持奖励甘南州“巾帼扶贫车间”扶持资金22万，拨付“巾帼扶贫车间”骨干培训班专项资金4.80万，共计26.80万元。其中奖补扶持“巾帼扶贫车间”4个，分别是卓尼县长辫子洮绣传承巾帼扶贫车间、卓尼县津腾达服饰加工上卓村巾帼扶贫车间、卓尼县德琴民族手工艺品加工巾帼扶贫车间，每个车间奖励资金5万，共15万；卓尼县丰裕牧业种植养殖巾帼扶贫车间奖励资金7万元。资金全部用于“车间”女工技能培训、开展“五个一”创建活动及市场对接。通过骨干针对性培训，利用地方民族文化资源的独特优势，带动脱贫低收入妇女人均增收每月1500元，带动困难留守妇女300余人，提高困难妇女参加技能培训的积极性与主动性，让创业致富成为广大妇女的价值取向和自觉行动，带动更多农村妇女创业就业、增收致富</w:t>
      </w:r>
      <w:r>
        <w:rPr>
          <w:rFonts w:hint="eastAsia" w:ascii="仿宋" w:hAnsi="仿宋" w:eastAsia="仿宋" w:cs="仿宋"/>
          <w:color w:val="000000" w:themeColor="text1"/>
          <w:sz w:val="32"/>
          <w:szCs w:val="32"/>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进一步解决了脱贫低收入妇女“顾家、务农、赚钱”等矛盾问题，织牢妇女增收网，真正实现了持家创收两不误。</w:t>
      </w:r>
    </w:p>
    <w:tbl>
      <w:tblPr>
        <w:tblStyle w:val="12"/>
        <w:tblW w:w="86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21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blHeader/>
        </w:trPr>
        <w:tc>
          <w:tcPr>
            <w:tcW w:w="969" w:type="dxa"/>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210"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85"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blHeader/>
        </w:trPr>
        <w:tc>
          <w:tcPr>
            <w:tcW w:w="969" w:type="dxa"/>
            <w:vMerge w:val="restart"/>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6210" w:type="dxa"/>
            <w:vAlign w:val="center"/>
          </w:tcPr>
          <w:p>
            <w:pPr>
              <w:widowControl/>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卓尼县丰裕牧业种植养殖巾帼扶贫车间</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blHeader/>
        </w:trPr>
        <w:tc>
          <w:tcPr>
            <w:tcW w:w="969" w:type="dxa"/>
            <w:vMerge w:val="continue"/>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6210" w:type="dxa"/>
            <w:vAlign w:val="center"/>
          </w:tcPr>
          <w:p>
            <w:pPr>
              <w:widowControl/>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卓尼县长辫子洮绣传承巾帼扶贫车间</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blHeader/>
        </w:trPr>
        <w:tc>
          <w:tcPr>
            <w:tcW w:w="969" w:type="dxa"/>
            <w:vMerge w:val="continue"/>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6210" w:type="dxa"/>
            <w:vAlign w:val="center"/>
          </w:tcPr>
          <w:p>
            <w:pPr>
              <w:widowControl/>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卓尼县津腾达服饰加工上卓村巾帼扶贫车间</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blHeader/>
        </w:trPr>
        <w:tc>
          <w:tcPr>
            <w:tcW w:w="969" w:type="dxa"/>
            <w:vMerge w:val="continue"/>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6210" w:type="dxa"/>
            <w:vAlign w:val="center"/>
          </w:tcPr>
          <w:p>
            <w:pPr>
              <w:widowControl/>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卓尼县德琴民族手工艺品加工巾帼扶贫车间</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blHeader/>
        </w:trPr>
        <w:tc>
          <w:tcPr>
            <w:tcW w:w="969"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6210"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blHeader/>
        </w:trPr>
        <w:tc>
          <w:tcPr>
            <w:tcW w:w="7179" w:type="dxa"/>
            <w:gridSpan w:val="2"/>
            <w:vAlign w:val="center"/>
          </w:tcPr>
          <w:p>
            <w:pPr>
              <w:widowControl/>
              <w:spacing w:line="360" w:lineRule="auto"/>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85"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26.80</w:t>
            </w:r>
          </w:p>
        </w:tc>
      </w:tr>
    </w:tbl>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金昌市：2021年省妇联下拨“巾帼扶贫车间”骨干培训项目1个，金额共4万元，主要用于脱贫妇女技能培训，促进“巾帼扶贫车间”健康持续发展，有效带动脱贫妇女就近就地就业，助力巩固拓展脱贫攻坚成果与乡村振兴有效衔接，涉及范围是永昌县扶贫车间金昌秀禾园工艺品有限公司。项目实施期间，省妇联11月底向金昌市金发职业培训学校拨付专项资金4万元，其中：教师讲课费4200元，培训教材、资料费3300元，培训材料费16400元，租车费：2100元，误工补贴14000元。以上专项经费都按《甘肃省妇女工作专项经费使用管理办法》规定的用途使用，用于</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妇女技能培训、输转、扶贫车间扩大生产等相关工作。</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10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blHeader/>
        </w:trPr>
        <w:tc>
          <w:tcPr>
            <w:tcW w:w="969" w:type="dxa"/>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610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427"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blHeader/>
        </w:trPr>
        <w:tc>
          <w:tcPr>
            <w:tcW w:w="969"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骨干培训资金</w:t>
            </w:r>
          </w:p>
        </w:tc>
        <w:tc>
          <w:tcPr>
            <w:tcW w:w="6103" w:type="dxa"/>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金昌市金发职业培训学校骨干培训班</w:t>
            </w:r>
          </w:p>
        </w:tc>
        <w:tc>
          <w:tcPr>
            <w:tcW w:w="1427"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blHeader/>
        </w:trPr>
        <w:tc>
          <w:tcPr>
            <w:tcW w:w="7072" w:type="dxa"/>
            <w:gridSpan w:val="2"/>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427"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r>
    </w:tbl>
    <w:p>
      <w:pPr>
        <w:spacing w:line="620" w:lineRule="exact"/>
        <w:ind w:firstLine="56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13）兰州新区：2021年省妇联拨付兰州新区新昌食用菌生产农民专业合作奖补扶持资金3万元，组织骨干培训班奖补骨干培训班专项资金2.40万元，用于员工技能培训、妇女之家基地建设和女工慰问三个方面，其中员工技能培训费用20000元，妇女之家基地建设费用2522元，女工慰问费用7500元，共计30022元。为提高员工工作技能，新昌食用菌加工“巾帼扶贫车间”特聘甘肃省农业科学院蔬菜研究所朱慧霞博士指导“巾帼扶贫车间”种产销工作，有效提高蔬菜亩产量、菜品质量，亩产增加近1000斤。减少了加工损耗，减少了尾菜产生量，加工损耗率降低5%，大幅节约生产成本，全年净增收5万元。妇女之家基地建设，有效提高了“巾帼扶贫车间”知名度，吸纳周边村庄近40名妇女到车间就业。有效解决了脱贫妇女“顾家、务农、赚钱”相矛盾的问题，努力实现女工与企业的“安居乐业、共享成果”目标。</w:t>
      </w:r>
    </w:p>
    <w:tbl>
      <w:tblPr>
        <w:tblStyle w:val="12"/>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78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blHeader/>
        </w:trPr>
        <w:tc>
          <w:tcPr>
            <w:tcW w:w="1149" w:type="dxa"/>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w:t>
            </w:r>
          </w:p>
        </w:tc>
        <w:tc>
          <w:tcPr>
            <w:tcW w:w="5788"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车间名称</w:t>
            </w:r>
          </w:p>
        </w:tc>
        <w:tc>
          <w:tcPr>
            <w:tcW w:w="1562"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tblHeader/>
        </w:trPr>
        <w:tc>
          <w:tcPr>
            <w:tcW w:w="1149"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奖补扶持资金</w:t>
            </w:r>
          </w:p>
        </w:tc>
        <w:tc>
          <w:tcPr>
            <w:tcW w:w="5788"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兰州新区新昌食用菌生产农民专业合作</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blHeader/>
        </w:trPr>
        <w:tc>
          <w:tcPr>
            <w:tcW w:w="1149"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骨干培训资金</w:t>
            </w:r>
          </w:p>
        </w:tc>
        <w:tc>
          <w:tcPr>
            <w:tcW w:w="5788"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骨干培训班</w:t>
            </w:r>
          </w:p>
        </w:tc>
        <w:tc>
          <w:tcPr>
            <w:tcW w:w="156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blHeader/>
        </w:trPr>
        <w:tc>
          <w:tcPr>
            <w:tcW w:w="6937" w:type="dxa"/>
            <w:gridSpan w:val="2"/>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  计</w:t>
            </w:r>
          </w:p>
        </w:tc>
        <w:tc>
          <w:tcPr>
            <w:tcW w:w="1562" w:type="dxa"/>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5.40</w:t>
            </w:r>
          </w:p>
        </w:tc>
      </w:tr>
    </w:tbl>
    <w:p>
      <w:pPr>
        <w:widowControl/>
        <w:spacing w:line="480" w:lineRule="auto"/>
        <w:ind w:firstLine="562" w:firstLineChars="200"/>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3.经费来源和使用情况</w:t>
      </w:r>
    </w:p>
    <w:p>
      <w:pPr>
        <w:widowControl/>
        <w:spacing w:line="48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2021年下达财政专项扶贫资金800万元；“巾帼扶贫车间”奖补655万元、“巾帼扶贫车间”骨干培训资金126.08万元、扶持“巾帼扶贫车间”防疫、复工复产10万元、第三方绩效评价4万元、审计4.92万元，具体经费使用情况如图所示：</w:t>
      </w:r>
    </w:p>
    <w:p>
      <w:pPr>
        <w:pStyle w:val="7"/>
        <w:ind w:firstLine="48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单位：万元</w:t>
      </w:r>
    </w:p>
    <w:tbl>
      <w:tblPr>
        <w:tblStyle w:val="12"/>
        <w:tblW w:w="8956" w:type="dxa"/>
        <w:tblInd w:w="93" w:type="dxa"/>
        <w:tblLayout w:type="fixed"/>
        <w:tblCellMar>
          <w:top w:w="0" w:type="dxa"/>
          <w:left w:w="108" w:type="dxa"/>
          <w:bottom w:w="0" w:type="dxa"/>
          <w:right w:w="108" w:type="dxa"/>
        </w:tblCellMar>
      </w:tblPr>
      <w:tblGrid>
        <w:gridCol w:w="1080"/>
        <w:gridCol w:w="1096"/>
        <w:gridCol w:w="1388"/>
        <w:gridCol w:w="1612"/>
        <w:gridCol w:w="1620"/>
        <w:gridCol w:w="1080"/>
        <w:gridCol w:w="1080"/>
      </w:tblGrid>
      <w:tr>
        <w:tblPrEx>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序号</w:t>
            </w:r>
          </w:p>
        </w:tc>
        <w:tc>
          <w:tcPr>
            <w:tcW w:w="1096"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市州</w:t>
            </w:r>
          </w:p>
        </w:tc>
        <w:tc>
          <w:tcPr>
            <w:tcW w:w="138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奖补资金</w:t>
            </w:r>
          </w:p>
        </w:tc>
        <w:tc>
          <w:tcPr>
            <w:tcW w:w="1612"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骨干培训资金</w:t>
            </w:r>
          </w:p>
        </w:tc>
        <w:tc>
          <w:tcPr>
            <w:tcW w:w="162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防疫奖补资金</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绩效评价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审计</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武威市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26</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3.20</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restart"/>
            <w:tcBorders>
              <w:top w:val="nil"/>
              <w:left w:val="nil"/>
              <w:right w:val="single" w:color="000000" w:sz="8" w:space="0"/>
            </w:tcBorders>
            <w:shd w:val="clear" w:color="auto" w:fill="auto"/>
            <w:noWrap/>
            <w:vAlign w:val="center"/>
          </w:tcPr>
          <w:p>
            <w:pPr>
              <w:widowControl/>
              <w:ind w:firstLine="220" w:firstLineChars="100"/>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1080" w:type="dxa"/>
            <w:vMerge w:val="restart"/>
            <w:tcBorders>
              <w:top w:val="nil"/>
              <w:left w:val="nil"/>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4.92</w:t>
            </w:r>
          </w:p>
        </w:tc>
      </w:tr>
      <w:tr>
        <w:tblPrEx>
          <w:tblCellMar>
            <w:top w:w="0" w:type="dxa"/>
            <w:left w:w="108" w:type="dxa"/>
            <w:bottom w:w="0" w:type="dxa"/>
            <w:right w:w="108" w:type="dxa"/>
          </w:tblCellMar>
        </w:tblPrEx>
        <w:trPr>
          <w:trHeight w:val="90"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白银市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20</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13.60</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庆阳市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68</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9.60</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平凉市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80</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定西市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84</w:t>
            </w: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26.24</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天水市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14.40</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陇南市</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55</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6.40</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1096"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临夏州</w:t>
            </w:r>
          </w:p>
        </w:tc>
        <w:tc>
          <w:tcPr>
            <w:tcW w:w="1388" w:type="dxa"/>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114</w:t>
            </w:r>
          </w:p>
        </w:tc>
        <w:tc>
          <w:tcPr>
            <w:tcW w:w="1612" w:type="dxa"/>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25.60</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w:t>
            </w: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甘南市</w:t>
            </w:r>
          </w:p>
        </w:tc>
        <w:tc>
          <w:tcPr>
            <w:tcW w:w="138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22</w:t>
            </w: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4.80</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张掖市</w:t>
            </w:r>
          </w:p>
        </w:tc>
        <w:tc>
          <w:tcPr>
            <w:tcW w:w="138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81</w:t>
            </w: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8</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金昌市</w:t>
            </w:r>
          </w:p>
        </w:tc>
        <w:tc>
          <w:tcPr>
            <w:tcW w:w="1388"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w:t>
            </w: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酒泉市</w:t>
            </w:r>
          </w:p>
        </w:tc>
        <w:tc>
          <w:tcPr>
            <w:tcW w:w="138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51</w:t>
            </w: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7.84</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w:t>
            </w: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兰州新区</w:t>
            </w:r>
          </w:p>
        </w:tc>
        <w:tc>
          <w:tcPr>
            <w:tcW w:w="138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612"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2.40</w:t>
            </w:r>
          </w:p>
        </w:tc>
        <w:tc>
          <w:tcPr>
            <w:tcW w:w="1620"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c>
          <w:tcPr>
            <w:tcW w:w="1080" w:type="dxa"/>
            <w:vMerge w:val="continue"/>
            <w:tcBorders>
              <w:left w:val="nil"/>
              <w:bottom w:val="single" w:color="000000" w:sz="8" w:space="0"/>
              <w:right w:val="single" w:color="000000" w:sz="8" w:space="0"/>
            </w:tcBorders>
            <w:shd w:val="clear" w:color="auto" w:fill="auto"/>
            <w:noWrap/>
            <w:vAlign w:val="center"/>
          </w:tcPr>
          <w:p>
            <w:pPr>
              <w:jc w:val="center"/>
              <w:rPr>
                <w:rFonts w:ascii="宋体" w:hAnsi="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1096"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合计</w:t>
            </w:r>
          </w:p>
        </w:tc>
        <w:tc>
          <w:tcPr>
            <w:tcW w:w="138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655</w:t>
            </w:r>
          </w:p>
        </w:tc>
        <w:tc>
          <w:tcPr>
            <w:tcW w:w="1612"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126.08</w:t>
            </w:r>
          </w:p>
        </w:tc>
        <w:tc>
          <w:tcPr>
            <w:tcW w:w="162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108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4.92</w:t>
            </w:r>
          </w:p>
        </w:tc>
      </w:tr>
    </w:tbl>
    <w:p>
      <w:pPr>
        <w:pStyle w:val="7"/>
        <w:ind w:firstLine="480"/>
        <w:jc w:val="right"/>
        <w:rPr>
          <w:color w:val="000000" w:themeColor="text1"/>
          <w:sz w:val="24"/>
          <w:szCs w:val="24"/>
          <w14:textFill>
            <w14:solidFill>
              <w14:schemeClr w14:val="tx1"/>
            </w14:solidFill>
          </w14:textFill>
        </w:rPr>
      </w:pPr>
    </w:p>
    <w:p>
      <w:pPr>
        <w:widowControl/>
        <w:numPr>
          <w:ilvl w:val="0"/>
          <w:numId w:val="3"/>
        </w:numPr>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9" w:name="_Toc25034"/>
      <w:r>
        <w:rPr>
          <w:rFonts w:hint="eastAsia" w:ascii="宋体" w:hAnsi="宋体"/>
          <w:b/>
          <w:color w:val="000000" w:themeColor="text1"/>
          <w:sz w:val="28"/>
          <w:szCs w:val="28"/>
          <w14:textFill>
            <w14:solidFill>
              <w14:schemeClr w14:val="tx1"/>
            </w14:solidFill>
          </w14:textFill>
        </w:rPr>
        <w:t>项目绩效目标</w:t>
      </w:r>
      <w:bookmarkEnd w:id="9"/>
    </w:p>
    <w:p>
      <w:pPr>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2021年起，围绕省委省政府巩固拓展脱贫攻坚成果同乡村振兴有效衔接最新安排部署，省妇联“巾帼扶贫车间”项目将重点提升车间建设运行质量，促进车间健康持续发展，主要支持车间妇联组织建设、扶持“巾帼扶贫车间”发展、奖励带动效果突出的“巾帼扶贫车间”、开展车间骨干实操技能培训、外出对接车间订单等，提升全省“巾帼扶贫车间”管理运行质量，“巾帼扶贫车间”基本建立妇女组织200人次，培树优秀“巾帼扶贫车间”80个，巾帼扶贫车间建立200个，各级妇联组织要紧紧围绕党政中心工作，提升“巾帼扶贫车间”建设运行质量，将广大妇女紧紧团结在</w:t>
      </w:r>
      <w:r>
        <w:rPr>
          <w:rFonts w:hint="eastAsia" w:ascii="宋体" w:hAnsi="宋体"/>
          <w:bCs/>
          <w:color w:val="000000" w:themeColor="text1"/>
          <w:sz w:val="28"/>
          <w:szCs w:val="28"/>
          <w:lang w:eastAsia="zh-CN"/>
          <w14:textFill>
            <w14:solidFill>
              <w14:schemeClr w14:val="tx1"/>
            </w14:solidFill>
          </w14:textFill>
        </w:rPr>
        <w:t>乡村振兴</w:t>
      </w:r>
      <w:r>
        <w:rPr>
          <w:rFonts w:hint="eastAsia" w:ascii="宋体" w:hAnsi="宋体"/>
          <w:bCs/>
          <w:color w:val="000000" w:themeColor="text1"/>
          <w:sz w:val="28"/>
          <w:szCs w:val="28"/>
          <w14:textFill>
            <w14:solidFill>
              <w14:schemeClr w14:val="tx1"/>
            </w14:solidFill>
          </w14:textFill>
        </w:rPr>
        <w:t>的主战场上，把妇女工作的触角延伸到广大妇女的身边，在妇女就业扶贫中彰显巾帼特色。</w:t>
      </w:r>
    </w:p>
    <w:p>
      <w:pPr>
        <w:widowControl/>
        <w:spacing w:line="480" w:lineRule="auto"/>
        <w:ind w:firstLine="562" w:firstLineChars="200"/>
        <w:outlineLvl w:val="0"/>
        <w:rPr>
          <w:rFonts w:ascii="宋体" w:hAnsi="宋体"/>
          <w:b/>
          <w:color w:val="000000" w:themeColor="text1"/>
          <w:sz w:val="28"/>
          <w:szCs w:val="28"/>
          <w14:textFill>
            <w14:solidFill>
              <w14:schemeClr w14:val="tx1"/>
            </w14:solidFill>
          </w14:textFill>
        </w:rPr>
      </w:pPr>
      <w:bookmarkStart w:id="10" w:name="_Toc32730"/>
      <w:r>
        <w:rPr>
          <w:rFonts w:hint="eastAsia" w:ascii="宋体" w:hAnsi="宋体"/>
          <w:b/>
          <w:color w:val="000000" w:themeColor="text1"/>
          <w:sz w:val="28"/>
          <w:szCs w:val="28"/>
          <w14:textFill>
            <w14:solidFill>
              <w14:schemeClr w14:val="tx1"/>
            </w14:solidFill>
          </w14:textFill>
        </w:rPr>
        <w:t>二、绩效评价工作情况</w:t>
      </w:r>
      <w:bookmarkEnd w:id="10"/>
    </w:p>
    <w:p>
      <w:pPr>
        <w:widowControl/>
        <w:numPr>
          <w:ilvl w:val="0"/>
          <w:numId w:val="4"/>
        </w:numPr>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11" w:name="_Toc32049"/>
      <w:r>
        <w:rPr>
          <w:rFonts w:hint="eastAsia" w:ascii="宋体" w:hAnsi="宋体"/>
          <w:b/>
          <w:color w:val="000000" w:themeColor="text1"/>
          <w:sz w:val="28"/>
          <w:szCs w:val="28"/>
          <w14:textFill>
            <w14:solidFill>
              <w14:schemeClr w14:val="tx1"/>
            </w14:solidFill>
          </w14:textFill>
        </w:rPr>
        <w:t>绩效评价目的</w:t>
      </w:r>
      <w:bookmarkEnd w:id="11"/>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通过运用科学、合理的绩效评价指标、评价标准和评价方法，制定符合资金运用、注重引导和可操作的评价指标体系，构建形成财政专项资金投入和绩效挂钩的动态调整机制，确保项目规范实施，资金合规使用</w:t>
      </w:r>
      <w:r>
        <w:rPr>
          <w:rFonts w:hint="eastAsia" w:ascii="仿宋_GB2312" w:hAnsi="仿宋_GB2312" w:eastAsia="仿宋_GB2312" w:cs="仿宋_GB2312"/>
          <w:color w:val="000000" w:themeColor="text1"/>
          <w:sz w:val="34"/>
          <w:szCs w:val="3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指导扶贫车间管好用好扶持奖励资金，切实发挥好示范带动作用,大力实施妇女特色手工产业帮助脱贫妇女居家就业增收脱贫，助推甘肃经济发展、社会事业的发展和妇女文化思想的省级，推动“巾帼扶贫车间”持续健康发展。</w:t>
      </w:r>
    </w:p>
    <w:p>
      <w:pPr>
        <w:widowControl/>
        <w:spacing w:line="480" w:lineRule="auto"/>
        <w:ind w:firstLine="562" w:firstLineChars="200"/>
        <w:outlineLvl w:val="1"/>
        <w:rPr>
          <w:rFonts w:ascii="宋体" w:hAnsi="宋体"/>
          <w:b/>
          <w:bCs/>
          <w:color w:val="000000" w:themeColor="text1"/>
          <w:sz w:val="28"/>
          <w:szCs w:val="28"/>
          <w14:textFill>
            <w14:solidFill>
              <w14:schemeClr w14:val="tx1"/>
            </w14:solidFill>
          </w14:textFill>
        </w:rPr>
      </w:pPr>
      <w:bookmarkStart w:id="12" w:name="_Toc13131"/>
      <w:r>
        <w:rPr>
          <w:rFonts w:hint="eastAsia" w:ascii="宋体" w:hAnsi="宋体"/>
          <w:b/>
          <w:bCs/>
          <w:color w:val="000000" w:themeColor="text1"/>
          <w:sz w:val="28"/>
          <w:szCs w:val="28"/>
          <w14:textFill>
            <w14:solidFill>
              <w14:schemeClr w14:val="tx1"/>
            </w14:solidFill>
          </w14:textFill>
        </w:rPr>
        <w:t>（二）绩效评价设计过程</w:t>
      </w:r>
      <w:bookmarkEnd w:id="12"/>
    </w:p>
    <w:p>
      <w:pPr>
        <w:widowControl/>
        <w:spacing w:line="480" w:lineRule="auto"/>
        <w:ind w:firstLine="562" w:firstLineChars="200"/>
        <w:outlineLvl w:val="2"/>
        <w:rPr>
          <w:rFonts w:ascii="宋体" w:hAnsi="宋体"/>
          <w:b/>
          <w:bCs/>
          <w:color w:val="000000" w:themeColor="text1"/>
          <w:sz w:val="28"/>
          <w:szCs w:val="28"/>
          <w14:textFill>
            <w14:solidFill>
              <w14:schemeClr w14:val="tx1"/>
            </w14:solidFill>
          </w14:textFill>
        </w:rPr>
      </w:pPr>
      <w:bookmarkStart w:id="13" w:name="_Toc18349_WPSOffice_Level3"/>
      <w:bookmarkStart w:id="14" w:name="_Toc2630_WPSOffice_Level3"/>
      <w:bookmarkStart w:id="15" w:name="_Toc1890_WPSOffice_Level3"/>
      <w:bookmarkStart w:id="16" w:name="_Toc3076_WPSOffice_Level3"/>
      <w:bookmarkStart w:id="17" w:name="_Toc10381"/>
      <w:bookmarkStart w:id="18" w:name="_Toc16733_WPSOffice_Level3"/>
      <w:bookmarkStart w:id="19" w:name="_Toc18906_WPSOffice_Level3"/>
      <w:r>
        <w:rPr>
          <w:rFonts w:hint="eastAsia" w:ascii="宋体" w:hAnsi="宋体"/>
          <w:b/>
          <w:bCs/>
          <w:color w:val="000000" w:themeColor="text1"/>
          <w:sz w:val="28"/>
          <w:szCs w:val="28"/>
          <w14:textFill>
            <w14:solidFill>
              <w14:schemeClr w14:val="tx1"/>
            </w14:solidFill>
          </w14:textFill>
        </w:rPr>
        <w:t>1、 前期准备</w:t>
      </w:r>
      <w:bookmarkEnd w:id="13"/>
      <w:bookmarkEnd w:id="14"/>
      <w:bookmarkEnd w:id="15"/>
      <w:bookmarkEnd w:id="16"/>
      <w:bookmarkEnd w:id="17"/>
      <w:bookmarkEnd w:id="18"/>
      <w:bookmarkEnd w:id="19"/>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专家组根据评价任务，此次绩效工作涉及甘肃省12个市州及兰州新区妇女联合会、点多面广、时间紧、任务重、分类及个性指标多，因此熟悉绩效评价文件，完成绩效评价基础信息工作，大量阅读了上报的自评报告，查阅相关信息及对应指标体系，以此掌握评价项目基础信息。</w:t>
      </w:r>
    </w:p>
    <w:p>
      <w:pPr>
        <w:widowControl/>
        <w:spacing w:line="480" w:lineRule="auto"/>
        <w:ind w:firstLine="562" w:firstLineChars="200"/>
        <w:outlineLvl w:val="2"/>
        <w:rPr>
          <w:rFonts w:ascii="宋体" w:hAnsi="宋体"/>
          <w:b/>
          <w:bCs/>
          <w:color w:val="000000" w:themeColor="text1"/>
          <w:sz w:val="28"/>
          <w:szCs w:val="28"/>
          <w14:textFill>
            <w14:solidFill>
              <w14:schemeClr w14:val="tx1"/>
            </w14:solidFill>
          </w14:textFill>
        </w:rPr>
      </w:pPr>
      <w:bookmarkStart w:id="20" w:name="_Toc12490_WPSOffice_Level3"/>
      <w:bookmarkStart w:id="21" w:name="_Toc22164_WPSOffice_Level3"/>
      <w:bookmarkStart w:id="22" w:name="_Toc2107_WPSOffice_Level3"/>
      <w:bookmarkStart w:id="23" w:name="_Toc23620"/>
      <w:bookmarkStart w:id="24" w:name="_Toc6417_WPSOffice_Level3"/>
      <w:bookmarkStart w:id="25" w:name="_Toc9910_WPSOffice_Level3"/>
      <w:bookmarkStart w:id="26" w:name="_Toc24684_WPSOffice_Level3"/>
      <w:r>
        <w:rPr>
          <w:rFonts w:hint="eastAsia" w:ascii="宋体" w:hAnsi="宋体"/>
          <w:b/>
          <w:bCs/>
          <w:color w:val="000000" w:themeColor="text1"/>
          <w:sz w:val="28"/>
          <w:szCs w:val="28"/>
          <w14:textFill>
            <w14:solidFill>
              <w14:schemeClr w14:val="tx1"/>
            </w14:solidFill>
          </w14:textFill>
        </w:rPr>
        <w:t>2、绩效评价设计</w:t>
      </w:r>
      <w:bookmarkEnd w:id="20"/>
      <w:bookmarkEnd w:id="21"/>
      <w:bookmarkEnd w:id="22"/>
      <w:r>
        <w:rPr>
          <w:rFonts w:hint="eastAsia" w:ascii="宋体" w:hAnsi="宋体"/>
          <w:b/>
          <w:bCs/>
          <w:color w:val="000000" w:themeColor="text1"/>
          <w:sz w:val="28"/>
          <w:szCs w:val="28"/>
          <w14:textFill>
            <w14:solidFill>
              <w14:schemeClr w14:val="tx1"/>
            </w14:solidFill>
          </w14:textFill>
        </w:rPr>
        <w:t>方案</w:t>
      </w:r>
      <w:bookmarkEnd w:id="23"/>
      <w:bookmarkEnd w:id="24"/>
      <w:bookmarkEnd w:id="25"/>
      <w:bookmarkEnd w:id="26"/>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(1)专家组拟定绩效评价具体工作方案，按项目类别和任务设计评价指标，确定评价标准和评价方法；</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(2)选择证据搜集方法，形成绩效评价方案。</w:t>
      </w:r>
    </w:p>
    <w:p>
      <w:pPr>
        <w:widowControl/>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27" w:name="_Toc14358"/>
      <w:r>
        <w:rPr>
          <w:rFonts w:hint="eastAsia" w:ascii="宋体" w:hAnsi="宋体"/>
          <w:b/>
          <w:color w:val="000000" w:themeColor="text1"/>
          <w:sz w:val="28"/>
          <w:szCs w:val="28"/>
          <w14:textFill>
            <w14:solidFill>
              <w14:schemeClr w14:val="tx1"/>
            </w14:solidFill>
          </w14:textFill>
        </w:rPr>
        <w:t>（三）绩效评价框架</w:t>
      </w:r>
      <w:bookmarkEnd w:id="27"/>
    </w:p>
    <w:p>
      <w:pPr>
        <w:widowControl/>
        <w:spacing w:line="480" w:lineRule="auto"/>
        <w:ind w:firstLine="562" w:firstLineChars="200"/>
        <w:outlineLvl w:val="2"/>
        <w:rPr>
          <w:rFonts w:ascii="宋体" w:hAnsi="宋体"/>
          <w:b/>
          <w:color w:val="000000" w:themeColor="text1"/>
          <w:sz w:val="28"/>
          <w:szCs w:val="28"/>
          <w14:textFill>
            <w14:solidFill>
              <w14:schemeClr w14:val="tx1"/>
            </w14:solidFill>
          </w14:textFill>
        </w:rPr>
      </w:pPr>
      <w:bookmarkStart w:id="28" w:name="_Toc3013_WPSOffice_Level3"/>
      <w:bookmarkStart w:id="29" w:name="_Toc30727_WPSOffice_Level3"/>
      <w:bookmarkStart w:id="30" w:name="_Toc5918_WPSOffice_Level3"/>
      <w:bookmarkStart w:id="31" w:name="_Toc27499"/>
      <w:bookmarkStart w:id="32" w:name="_Toc28400_WPSOffice_Level3"/>
      <w:bookmarkStart w:id="33" w:name="_Toc22394_WPSOffice_Level3"/>
      <w:bookmarkStart w:id="34" w:name="_Toc19708_WPSOffice_Level3"/>
      <w:r>
        <w:rPr>
          <w:rFonts w:hint="eastAsia" w:ascii="宋体" w:hAnsi="宋体"/>
          <w:b/>
          <w:color w:val="000000" w:themeColor="text1"/>
          <w:sz w:val="28"/>
          <w:szCs w:val="28"/>
          <w14:textFill>
            <w14:solidFill>
              <w14:schemeClr w14:val="tx1"/>
            </w14:solidFill>
          </w14:textFill>
        </w:rPr>
        <w:t>1、评价原则</w:t>
      </w:r>
      <w:bookmarkEnd w:id="28"/>
      <w:bookmarkEnd w:id="29"/>
      <w:bookmarkEnd w:id="30"/>
      <w:bookmarkEnd w:id="31"/>
      <w:bookmarkEnd w:id="32"/>
      <w:bookmarkEnd w:id="33"/>
      <w:bookmarkEnd w:id="34"/>
    </w:p>
    <w:p>
      <w:pPr>
        <w:widowControl/>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（1）系统性。以2021年度巾帼扶贫车间项目为主要依据，结合省上制定的考核指标体系；</w:t>
      </w:r>
    </w:p>
    <w:p>
      <w:pPr>
        <w:widowControl/>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（2）科学性。为便于汇总、统计和各地巾帼扶贫车间项目横向比对，对指标的每个考核点按分值量化；</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（3）合理性。坚持定量与定性相结合，兼顾各个地区的多样化和差异性，突出内涵建设和质量效益导向，体现各地巾帼扶贫车间项目资金及资源的投入和产出；</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（4）坚持真实、科学、公正的原则；</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（5）坚持综合绩效评价的原则；</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（6）坚持定量分析与定性分析的原则；</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（7）坚持绩效评价与项目支出管理相结合的原则；</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（8）坚持绩效评价贯穿于事前、事中、事后的原则。</w:t>
      </w:r>
      <w:bookmarkStart w:id="35" w:name="_Toc19398_WPSOffice_Level3"/>
      <w:bookmarkStart w:id="36" w:name="_Toc7200_WPSOffice_Level3"/>
      <w:bookmarkStart w:id="37" w:name="_Toc2294_WPSOffice_Level3"/>
      <w:bookmarkStart w:id="38" w:name="_Toc14845"/>
      <w:bookmarkStart w:id="39" w:name="_Toc29539_WPSOffice_Level3"/>
      <w:bookmarkStart w:id="40" w:name="_Toc4295_WPSOffice_Level3"/>
      <w:bookmarkStart w:id="41" w:name="_Toc26174_WPSOffice_Level3"/>
    </w:p>
    <w:p>
      <w:pPr>
        <w:widowControl/>
        <w:spacing w:line="480" w:lineRule="auto"/>
        <w:ind w:firstLine="562" w:firstLineChars="20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2、评价指标体系</w:t>
      </w:r>
      <w:bookmarkEnd w:id="35"/>
      <w:bookmarkEnd w:id="36"/>
      <w:bookmarkEnd w:id="37"/>
      <w:bookmarkEnd w:id="38"/>
      <w:bookmarkEnd w:id="39"/>
      <w:bookmarkEnd w:id="40"/>
      <w:bookmarkEnd w:id="41"/>
    </w:p>
    <w:p>
      <w:pPr>
        <w:ind w:firstLine="560" w:firstLineChars="200"/>
        <w:rPr>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2021年度巾帼扶贫车间项目绩效评价指标体系是综合反映巾帼扶贫车间项目的总体现象和特定概念，是衡量和评价项目资金的经济性、效率性和有效性的载体。</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根据《甘肃省省级财政专项资金管理办法》（甘财办[2014]22号）、《甘肃省妇女工作专项经费使用管理办法》（甘妇发[2014]56号）、《甘肃省“巾帼扶贫车间”专项资金管理暂行办法》（甘妇发[2019]8号）、《中共甘肃省委 甘肃省人民政府关于全面实施预算绩效管理的实施意见》、《省妇联关于做好“巾帼扶贫车间”财政专项资金绩效评价工作的通知》进行了2021年度绩效评价。为反映各地区投入产出情况，反复论证，经分析研究制定考核内容，主要涵盖资金投入、资金支出进度、资金监管、资金使用成效4个方面，充分反映2021年度巾帼扶贫车间经济效益和社会效益。</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 指标体系包括4个一级指标、12个二级指标。一级指标权重分别是：资金投入10%、资金支出进度15%、资金监管20%、资金使用成效55%（详见附件1）。</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（2）为确保不同二级指标的可比性，二级指标得分为每项得分的标准分数。标准分数计算公式：</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inline distT="0" distB="0" distL="114300" distR="114300">
            <wp:extent cx="1533525" cy="495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33525" cy="495300"/>
                    </a:xfrm>
                    <a:prstGeom prst="rect">
                      <a:avLst/>
                    </a:prstGeom>
                    <a:noFill/>
                    <a:ln>
                      <a:noFill/>
                    </a:ln>
                  </pic:spPr>
                </pic:pic>
              </a:graphicData>
            </a:graphic>
          </wp:inline>
        </w:drawing>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其中：X为各地区该二级指标的计分值，Xmax和Xmin分别为各地区二级指标计分的最大值和最小值。</w:t>
      </w:r>
    </w:p>
    <w:p>
      <w:pPr>
        <w:widowControl/>
        <w:spacing w:line="48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（3）考核总得分为二级指标得分之和乘以一级指标所占权重，即：</w:t>
      </w:r>
    </w:p>
    <w:p>
      <w:pPr>
        <w:ind w:firstLine="1120" w:firstLineChars="400"/>
        <w:rPr>
          <w:rFonts w:ascii="仿宋" w:hAnsi="仿宋" w:eastAsia="仿宋" w:cs="仿宋"/>
          <w:color w:val="000000" w:themeColor="text1"/>
          <w:sz w:val="30"/>
          <w:szCs w:val="3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总得分</w:t>
      </w:r>
      <w:r>
        <w:rPr>
          <w:rFonts w:ascii="仿宋" w:hAnsi="仿宋" w:eastAsia="仿宋" w:cs="仿宋"/>
          <w:color w:val="000000" w:themeColor="text1"/>
          <w:position w:val="-30"/>
          <w:sz w:val="30"/>
          <w:szCs w:val="30"/>
          <w14:textFill>
            <w14:solidFill>
              <w14:schemeClr w14:val="tx1"/>
            </w14:solidFill>
          </w14:textFill>
        </w:rPr>
        <w:drawing>
          <wp:inline distT="0" distB="0" distL="114300" distR="114300">
            <wp:extent cx="3667125" cy="53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67125" cy="533400"/>
                    </a:xfrm>
                    <a:prstGeom prst="rect">
                      <a:avLst/>
                    </a:prstGeom>
                    <a:noFill/>
                    <a:ln>
                      <a:noFill/>
                    </a:ln>
                  </pic:spPr>
                </pic:pic>
              </a:graphicData>
            </a:graphic>
          </wp:inline>
        </w:drawing>
      </w:r>
    </w:p>
    <w:p>
      <w:pPr>
        <w:widowControl/>
        <w:spacing w:line="36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其中：Ai-Di为各二级指标得分，Ki为第i项指标的权重系数</w:t>
      </w:r>
    </w:p>
    <w:p>
      <w:pPr>
        <w:widowControl/>
        <w:numPr>
          <w:ilvl w:val="0"/>
          <w:numId w:val="5"/>
        </w:numPr>
        <w:spacing w:line="480" w:lineRule="auto"/>
        <w:ind w:firstLine="562" w:firstLineChars="200"/>
        <w:outlineLvl w:val="2"/>
        <w:rPr>
          <w:rFonts w:ascii="宋体" w:hAnsi="宋体"/>
          <w:b/>
          <w:bCs/>
          <w:color w:val="000000" w:themeColor="text1"/>
          <w:sz w:val="28"/>
          <w:szCs w:val="28"/>
          <w14:textFill>
            <w14:solidFill>
              <w14:schemeClr w14:val="tx1"/>
            </w14:solidFill>
          </w14:textFill>
        </w:rPr>
      </w:pPr>
      <w:bookmarkStart w:id="42" w:name="_Toc12270_WPSOffice_Level3"/>
      <w:bookmarkStart w:id="43" w:name="_Toc13963_WPSOffice_Level3"/>
      <w:bookmarkStart w:id="44" w:name="_Toc7622"/>
      <w:bookmarkStart w:id="45" w:name="_Toc1425_WPSOffice_Level3"/>
      <w:bookmarkStart w:id="46" w:name="_Toc16245_WPSOffice_Level3"/>
      <w:bookmarkStart w:id="47" w:name="_Toc21581_WPSOffice_Level3"/>
      <w:bookmarkStart w:id="48" w:name="_Toc17336_WPSOffice_Level3"/>
      <w:r>
        <w:rPr>
          <w:rFonts w:hint="eastAsia" w:ascii="宋体" w:hAnsi="宋体"/>
          <w:b/>
          <w:bCs/>
          <w:color w:val="000000" w:themeColor="text1"/>
          <w:sz w:val="28"/>
          <w:szCs w:val="28"/>
          <w14:textFill>
            <w14:solidFill>
              <w14:schemeClr w14:val="tx1"/>
            </w14:solidFill>
          </w14:textFill>
        </w:rPr>
        <w:t>绩效标准</w:t>
      </w:r>
      <w:bookmarkEnd w:id="42"/>
      <w:bookmarkEnd w:id="43"/>
      <w:bookmarkEnd w:id="44"/>
      <w:bookmarkEnd w:id="45"/>
      <w:bookmarkEnd w:id="46"/>
      <w:bookmarkEnd w:id="47"/>
      <w:bookmarkEnd w:id="48"/>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指标体系包括4个一级指标、12个二级指标。一级指标分数分别是：资金投入10分、资金支出进度15分、资金监管20分、资金使用成效55分；二级指标分数分别是:省级财政专项资金到位率</w:t>
      </w:r>
      <w:r>
        <w:rPr>
          <w:rFonts w:hint="eastAsia"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5分、省级财政专项到位时效5分、年度项目资金结转结余率10分、当年资金拨付进度5分、项目资金使用情况自查5分、项目执行情况督查10分、绩效评价制度及落实情况5分</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项目总人数10分</w:t>
      </w:r>
      <w:r>
        <w:rPr>
          <w:rFonts w:hint="eastAsia" w:ascii="宋体" w:hAnsi="宋体"/>
          <w:color w:val="000000" w:themeColor="text1"/>
          <w:sz w:val="28"/>
          <w:szCs w:val="28"/>
          <w:lang w:eastAsia="zh-CN"/>
          <w14:textFill>
            <w14:solidFill>
              <w14:schemeClr w14:val="tx1"/>
            </w14:solidFill>
          </w14:textFill>
        </w:rPr>
        <w:t>、脱贫</w:t>
      </w:r>
      <w:r>
        <w:rPr>
          <w:rFonts w:hint="eastAsia" w:ascii="宋体" w:hAnsi="宋体"/>
          <w:color w:val="000000" w:themeColor="text1"/>
          <w:sz w:val="28"/>
          <w:szCs w:val="28"/>
          <w14:textFill>
            <w14:solidFill>
              <w14:schemeClr w14:val="tx1"/>
            </w14:solidFill>
          </w14:textFill>
        </w:rPr>
        <w:t>妇女15分</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开展订单情况5分、受训妇女通过掌握手工技能增收情况10分、财务管理10分、管理制度建设5分。</w:t>
      </w:r>
    </w:p>
    <w:p>
      <w:pPr>
        <w:widowControl/>
        <w:spacing w:line="480" w:lineRule="auto"/>
        <w:ind w:firstLine="562" w:firstLineChars="200"/>
        <w:outlineLvl w:val="2"/>
        <w:rPr>
          <w:rFonts w:ascii="宋体" w:hAnsi="宋体"/>
          <w:b/>
          <w:bCs/>
          <w:color w:val="000000" w:themeColor="text1"/>
          <w:sz w:val="28"/>
          <w:szCs w:val="28"/>
          <w14:textFill>
            <w14:solidFill>
              <w14:schemeClr w14:val="tx1"/>
            </w14:solidFill>
          </w14:textFill>
        </w:rPr>
      </w:pPr>
      <w:bookmarkStart w:id="49" w:name="_Toc13346_WPSOffice_Level3"/>
      <w:bookmarkStart w:id="50" w:name="_Toc12466_WPSOffice_Level3"/>
      <w:bookmarkStart w:id="51" w:name="_Toc4000_WPSOffice_Level3"/>
      <w:bookmarkStart w:id="52" w:name="_Toc30800_WPSOffice_Level3"/>
      <w:bookmarkStart w:id="53" w:name="_Toc18460_WPSOffice_Level3"/>
      <w:bookmarkStart w:id="54" w:name="_Toc20147_WPSOffice_Level3"/>
      <w:bookmarkStart w:id="55" w:name="_Toc10335"/>
      <w:r>
        <w:rPr>
          <w:rFonts w:hint="eastAsia" w:ascii="宋体" w:hAnsi="宋体"/>
          <w:b/>
          <w:bCs/>
          <w:color w:val="000000" w:themeColor="text1"/>
          <w:sz w:val="28"/>
          <w:szCs w:val="28"/>
          <w14:textFill>
            <w14:solidFill>
              <w14:schemeClr w14:val="tx1"/>
            </w14:solidFill>
          </w14:textFill>
        </w:rPr>
        <w:t>4、评价方法</w:t>
      </w:r>
      <w:bookmarkEnd w:id="49"/>
      <w:bookmarkEnd w:id="50"/>
      <w:bookmarkEnd w:id="51"/>
      <w:bookmarkEnd w:id="52"/>
      <w:bookmarkEnd w:id="53"/>
      <w:bookmarkEnd w:id="54"/>
      <w:bookmarkEnd w:id="55"/>
    </w:p>
    <w:p>
      <w:pPr>
        <w:widowControl/>
        <w:spacing w:line="480" w:lineRule="auto"/>
        <w:ind w:firstLine="560" w:firstLineChars="200"/>
        <w:rPr>
          <w:rFonts w:ascii="宋体" w:hAnsi="宋体"/>
          <w:b/>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本次绩效评价采用定量与定性相结合、项目实施单位自评与工作小组抽查评价相结合，运用比较法、专家评议等方法进行评价，绩效评估的方法是比较科学的，能够相对反映巾帼扶贫车间绩效评价的发展趋势。</w:t>
      </w:r>
    </w:p>
    <w:p>
      <w:pPr>
        <w:widowControl/>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56" w:name="_Toc14693"/>
      <w:r>
        <w:rPr>
          <w:rFonts w:hint="eastAsia" w:ascii="宋体" w:hAnsi="宋体"/>
          <w:b/>
          <w:color w:val="000000" w:themeColor="text1"/>
          <w:sz w:val="28"/>
          <w:szCs w:val="28"/>
          <w14:textFill>
            <w14:solidFill>
              <w14:schemeClr w14:val="tx1"/>
            </w14:solidFill>
          </w14:textFill>
        </w:rPr>
        <w:t>（四）证据收集方法</w:t>
      </w:r>
      <w:bookmarkEnd w:id="56"/>
    </w:p>
    <w:p>
      <w:pPr>
        <w:widowControl/>
        <w:spacing w:line="360" w:lineRule="auto"/>
        <w:ind w:firstLine="560" w:firstLineChars="200"/>
        <w:outlineLvl w:val="2"/>
        <w:rPr>
          <w:rFonts w:ascii="宋体" w:hAnsi="宋体"/>
          <w:bCs/>
          <w:color w:val="000000" w:themeColor="text1"/>
          <w:sz w:val="28"/>
          <w:szCs w:val="28"/>
          <w14:textFill>
            <w14:solidFill>
              <w14:schemeClr w14:val="tx1"/>
            </w14:solidFill>
          </w14:textFill>
        </w:rPr>
      </w:pPr>
      <w:bookmarkStart w:id="57" w:name="_Toc8263_WPSOffice_Level3"/>
      <w:bookmarkStart w:id="58" w:name="_Toc29380_WPSOffice_Level3"/>
      <w:bookmarkStart w:id="59" w:name="_Toc15312"/>
      <w:bookmarkStart w:id="60" w:name="_Toc32254_WPSOffice_Level3"/>
      <w:bookmarkStart w:id="61" w:name="_Toc10003_WPSOffice_Level3"/>
      <w:bookmarkStart w:id="62" w:name="_Toc19612_WPSOffice_Level3"/>
      <w:bookmarkStart w:id="63" w:name="_Toc480_WPSOffice_Level3"/>
      <w:bookmarkStart w:id="64" w:name="_Toc27225_WPSOffice_Level3"/>
      <w:r>
        <w:rPr>
          <w:rFonts w:hint="eastAsia" w:ascii="宋体" w:hAnsi="宋体"/>
          <w:bCs/>
          <w:color w:val="000000" w:themeColor="text1"/>
          <w:sz w:val="28"/>
          <w:szCs w:val="28"/>
          <w14:textFill>
            <w14:solidFill>
              <w14:schemeClr w14:val="tx1"/>
            </w14:solidFill>
          </w14:textFill>
        </w:rPr>
        <w:t>1、案卷研究</w:t>
      </w:r>
      <w:bookmarkEnd w:id="57"/>
      <w:bookmarkEnd w:id="58"/>
      <w:bookmarkEnd w:id="59"/>
      <w:bookmarkEnd w:id="60"/>
      <w:bookmarkEnd w:id="61"/>
      <w:bookmarkEnd w:id="62"/>
      <w:bookmarkEnd w:id="63"/>
      <w:bookmarkEnd w:id="64"/>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案卷研究是从现有的文档资料中寻找证据的过程。这些文档资料包括项目文件、国家和地方的发展政策和战略、各种相关的研究和咨询报告等。案卷研究要注意对同一指标在不同项目文件中的证据进行对比核实，如果不同来源的证据存在差异，那么要分析差异的原因，并且在实地调研中进行核查，最后决定选择使用哪个来源的证据。</w:t>
      </w:r>
    </w:p>
    <w:p>
      <w:pPr>
        <w:widowControl/>
        <w:spacing w:line="360" w:lineRule="auto"/>
        <w:ind w:firstLine="560" w:firstLineChars="200"/>
        <w:outlineLvl w:val="2"/>
        <w:rPr>
          <w:rFonts w:ascii="宋体" w:hAnsi="宋体"/>
          <w:bCs/>
          <w:color w:val="000000" w:themeColor="text1"/>
          <w:sz w:val="28"/>
          <w:szCs w:val="28"/>
          <w14:textFill>
            <w14:solidFill>
              <w14:schemeClr w14:val="tx1"/>
            </w14:solidFill>
          </w14:textFill>
        </w:rPr>
      </w:pPr>
      <w:bookmarkStart w:id="65" w:name="_Toc11791_WPSOffice_Level3"/>
      <w:bookmarkStart w:id="66" w:name="_Toc24594_WPSOffice_Level3"/>
      <w:bookmarkStart w:id="67" w:name="_Toc5742_WPSOffice_Level3"/>
      <w:bookmarkStart w:id="68" w:name="_Toc6323_WPSOffice_Level3"/>
      <w:bookmarkStart w:id="69" w:name="_Toc31818"/>
      <w:bookmarkStart w:id="70" w:name="_Toc7970_WPSOffice_Level3"/>
      <w:bookmarkStart w:id="71" w:name="_Toc31915_WPSOffice_Level3"/>
      <w:r>
        <w:rPr>
          <w:rFonts w:hint="eastAsia" w:ascii="宋体" w:hAnsi="宋体"/>
          <w:bCs/>
          <w:color w:val="000000" w:themeColor="text1"/>
          <w:sz w:val="28"/>
          <w:szCs w:val="28"/>
          <w14:textFill>
            <w14:solidFill>
              <w14:schemeClr w14:val="tx1"/>
            </w14:solidFill>
          </w14:textFill>
        </w:rPr>
        <w:t>2、问卷调查</w:t>
      </w:r>
      <w:bookmarkEnd w:id="65"/>
      <w:bookmarkEnd w:id="66"/>
      <w:bookmarkEnd w:id="67"/>
      <w:bookmarkEnd w:id="68"/>
      <w:bookmarkEnd w:id="69"/>
      <w:bookmarkEnd w:id="70"/>
      <w:bookmarkEnd w:id="71"/>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发放文件调查是确保有关定性指标真实、准确的基础，主要由评价人员亲自发放和收回，不得经由评价客体内部人员间接发放或收回。问卷调查的发放范围和数量由评价机构根据评价工作的实际情况确定。</w:t>
      </w:r>
    </w:p>
    <w:p>
      <w:pPr>
        <w:widowControl/>
        <w:spacing w:line="480" w:lineRule="auto"/>
        <w:ind w:firstLine="560" w:firstLineChars="200"/>
        <w:outlineLvl w:val="2"/>
        <w:rPr>
          <w:rFonts w:ascii="宋体" w:hAnsi="宋体"/>
          <w:bCs/>
          <w:color w:val="000000" w:themeColor="text1"/>
          <w:sz w:val="28"/>
          <w:szCs w:val="28"/>
          <w14:textFill>
            <w14:solidFill>
              <w14:schemeClr w14:val="tx1"/>
            </w14:solidFill>
          </w14:textFill>
        </w:rPr>
      </w:pPr>
      <w:bookmarkStart w:id="72" w:name="_Toc5030_WPSOffice_Level3"/>
      <w:bookmarkStart w:id="73" w:name="_Toc20195_WPSOffice_Level3"/>
      <w:bookmarkStart w:id="74" w:name="_Toc737_WPSOffice_Level3"/>
      <w:bookmarkStart w:id="75" w:name="_Toc14852_WPSOffice_Level3"/>
      <w:bookmarkStart w:id="76" w:name="_Toc26247_WPSOffice_Level3"/>
      <w:bookmarkStart w:id="77" w:name="_Toc16578_WPSOffice_Level3"/>
      <w:bookmarkStart w:id="78" w:name="_Toc27419"/>
      <w:r>
        <w:rPr>
          <w:rFonts w:hint="eastAsia" w:ascii="宋体" w:hAnsi="宋体"/>
          <w:bCs/>
          <w:color w:val="000000" w:themeColor="text1"/>
          <w:sz w:val="28"/>
          <w:szCs w:val="28"/>
          <w14:textFill>
            <w14:solidFill>
              <w14:schemeClr w14:val="tx1"/>
            </w14:solidFill>
          </w14:textFill>
        </w:rPr>
        <w:t>3、访谈</w:t>
      </w:r>
      <w:bookmarkEnd w:id="72"/>
      <w:bookmarkEnd w:id="73"/>
      <w:bookmarkEnd w:id="74"/>
      <w:bookmarkEnd w:id="75"/>
      <w:bookmarkEnd w:id="76"/>
      <w:bookmarkEnd w:id="77"/>
      <w:bookmarkEnd w:id="78"/>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评价小组在开展面访之前要做好以下准备工作：从项目利益相关者中确定访谈对象；设计访谈问题清单；编写访谈日程。访谈对象是能够为绩效评价提供切实有用数据的人，一般包括以下几类人员：项目的管理人员，包括管理部门和项目单位人员；负责项目实施和运行的人员。</w:t>
      </w:r>
    </w:p>
    <w:p>
      <w:pPr>
        <w:widowControl/>
        <w:spacing w:line="480" w:lineRule="auto"/>
        <w:ind w:firstLine="560" w:firstLineChars="200"/>
        <w:outlineLvl w:val="2"/>
        <w:rPr>
          <w:rFonts w:ascii="宋体" w:hAnsi="宋体"/>
          <w:bCs/>
          <w:color w:val="000000" w:themeColor="text1"/>
          <w:sz w:val="28"/>
          <w:szCs w:val="28"/>
          <w14:textFill>
            <w14:solidFill>
              <w14:schemeClr w14:val="tx1"/>
            </w14:solidFill>
          </w14:textFill>
        </w:rPr>
      </w:pPr>
      <w:bookmarkStart w:id="79" w:name="_Toc10311_WPSOffice_Level3"/>
      <w:bookmarkStart w:id="80" w:name="_Toc7838_WPSOffice_Level3"/>
      <w:bookmarkStart w:id="81" w:name="_Toc20503_WPSOffice_Level3"/>
      <w:bookmarkStart w:id="82" w:name="_Toc9017_WPSOffice_Level3"/>
      <w:bookmarkStart w:id="83" w:name="_Toc14235"/>
      <w:bookmarkStart w:id="84" w:name="_Toc7260_WPSOffice_Level3"/>
      <w:bookmarkStart w:id="85" w:name="_Toc20126_WPSOffice_Level3"/>
      <w:r>
        <w:rPr>
          <w:rFonts w:hint="eastAsia" w:ascii="宋体" w:hAnsi="宋体"/>
          <w:bCs/>
          <w:color w:val="000000" w:themeColor="text1"/>
          <w:sz w:val="28"/>
          <w:szCs w:val="28"/>
          <w14:textFill>
            <w14:solidFill>
              <w14:schemeClr w14:val="tx1"/>
            </w14:solidFill>
          </w14:textFill>
        </w:rPr>
        <w:t>4、</w:t>
      </w:r>
      <w:bookmarkStart w:id="86" w:name="_Toc27316_WPSOffice_Level3"/>
      <w:r>
        <w:rPr>
          <w:rFonts w:hint="eastAsia" w:ascii="宋体" w:hAnsi="宋体"/>
          <w:bCs/>
          <w:color w:val="000000" w:themeColor="text1"/>
          <w:sz w:val="28"/>
          <w:szCs w:val="28"/>
          <w14:textFill>
            <w14:solidFill>
              <w14:schemeClr w14:val="tx1"/>
            </w14:solidFill>
          </w14:textFill>
        </w:rPr>
        <w:t>座谈会</w:t>
      </w:r>
      <w:bookmarkEnd w:id="79"/>
      <w:bookmarkEnd w:id="80"/>
      <w:bookmarkEnd w:id="81"/>
      <w:bookmarkEnd w:id="82"/>
      <w:bookmarkEnd w:id="83"/>
      <w:bookmarkEnd w:id="84"/>
      <w:bookmarkEnd w:id="85"/>
      <w:bookmarkEnd w:id="86"/>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绩效评价小组把有代表性的利益相关者召集起来，围绕座谈会问题清单进行讨论，进而收集绩效评价所需的证据。召开座谈会之前，评价小组要做好以下准备工作：（1）确定座谈会的次数和参会的利益相关者；（2）涉及座谈会问题清单；（3）设计座谈会的日程安排，包括召开的程序、时间和地点。</w:t>
      </w:r>
    </w:p>
    <w:p>
      <w:pPr>
        <w:widowControl/>
        <w:spacing w:line="480" w:lineRule="auto"/>
        <w:ind w:firstLine="560" w:firstLineChars="200"/>
        <w:outlineLvl w:val="2"/>
        <w:rPr>
          <w:rFonts w:ascii="宋体" w:hAnsi="宋体"/>
          <w:bCs/>
          <w:color w:val="000000" w:themeColor="text1"/>
          <w:sz w:val="28"/>
          <w:szCs w:val="28"/>
          <w14:textFill>
            <w14:solidFill>
              <w14:schemeClr w14:val="tx1"/>
            </w14:solidFill>
          </w14:textFill>
        </w:rPr>
      </w:pPr>
      <w:bookmarkStart w:id="87" w:name="_Toc31728_WPSOffice_Level3"/>
      <w:bookmarkStart w:id="88" w:name="_Toc15813_WPSOffice_Level3"/>
      <w:bookmarkStart w:id="89" w:name="_Toc7758_WPSOffice_Level3"/>
      <w:bookmarkStart w:id="90" w:name="_Toc18991"/>
      <w:bookmarkStart w:id="91" w:name="_Toc25326_WPSOffice_Level3"/>
      <w:bookmarkStart w:id="92" w:name="_Toc23670_WPSOffice_Level3"/>
      <w:bookmarkStart w:id="93" w:name="_Toc26095_WPSOffice_Level3"/>
      <w:r>
        <w:rPr>
          <w:rFonts w:hint="eastAsia" w:ascii="宋体" w:hAnsi="宋体"/>
          <w:bCs/>
          <w:color w:val="000000" w:themeColor="text1"/>
          <w:sz w:val="28"/>
          <w:szCs w:val="28"/>
          <w14:textFill>
            <w14:solidFill>
              <w14:schemeClr w14:val="tx1"/>
            </w14:solidFill>
          </w14:textFill>
        </w:rPr>
        <w:t>5、电子邮箱</w:t>
      </w:r>
      <w:bookmarkEnd w:id="87"/>
      <w:bookmarkEnd w:id="88"/>
      <w:bookmarkEnd w:id="89"/>
      <w:bookmarkEnd w:id="90"/>
      <w:bookmarkEnd w:id="91"/>
      <w:bookmarkEnd w:id="92"/>
      <w:bookmarkEnd w:id="93"/>
    </w:p>
    <w:p>
      <w:pPr>
        <w:spacing w:line="360" w:lineRule="auto"/>
        <w:ind w:firstLine="560" w:firstLineChars="200"/>
        <w:rPr>
          <w:color w:val="000000" w:themeColor="text1"/>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各项目单位按照绩效评价小组提供资料清单将项目的资料以电子版的形式交给绩效评价小组，随后以纸质版的形式将资料收集归档留底。</w:t>
      </w:r>
    </w:p>
    <w:p>
      <w:pPr>
        <w:widowControl/>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94" w:name="_Toc8551"/>
      <w:r>
        <w:rPr>
          <w:rFonts w:hint="eastAsia" w:ascii="宋体" w:hAnsi="宋体"/>
          <w:b/>
          <w:color w:val="000000" w:themeColor="text1"/>
          <w:sz w:val="28"/>
          <w:szCs w:val="28"/>
          <w14:textFill>
            <w14:solidFill>
              <w14:schemeClr w14:val="tx1"/>
            </w14:solidFill>
          </w14:textFill>
        </w:rPr>
        <w:t>（五）绩效评价实施过程</w:t>
      </w:r>
      <w:bookmarkEnd w:id="94"/>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1、专家组根据评价工作程序及评价目标进行任务分解，成立评价小组，进行任务分工，确定实施时间；</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2、拟定实施方案；</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①自我评价：根据绩效评价相关制度规定和绩效评价通知，各单位进行巾帼扶贫车间资金绩效自评，搜集、整理基础数据资料，撰写绩效评价自评报告；</w:t>
      </w:r>
    </w:p>
    <w:p>
      <w:pPr>
        <w:widowControl/>
        <w:spacing w:line="480" w:lineRule="auto"/>
        <w:ind w:firstLine="560" w:firstLineChars="200"/>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②书面评审：评价小组根据省妇联提供选取的名单进行了评价，并审阅了上报的自评报告，对材料进行审核、分析与判断。</w:t>
      </w:r>
    </w:p>
    <w:p>
      <w:pPr>
        <w:widowControl/>
        <w:numPr>
          <w:ilvl w:val="0"/>
          <w:numId w:val="6"/>
        </w:numPr>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95" w:name="_Toc18772"/>
      <w:r>
        <w:rPr>
          <w:rFonts w:hint="eastAsia" w:ascii="宋体" w:hAnsi="宋体"/>
          <w:b/>
          <w:color w:val="000000" w:themeColor="text1"/>
          <w:sz w:val="28"/>
          <w:szCs w:val="28"/>
          <w14:textFill>
            <w14:solidFill>
              <w14:schemeClr w14:val="tx1"/>
            </w14:solidFill>
          </w14:textFill>
        </w:rPr>
        <w:t>本次绩效评价的局限性</w:t>
      </w:r>
      <w:bookmarkEnd w:id="95"/>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1、因项目资金使用单位涉及甘肃省12个市州及兰州新区妇女联合会，绩效评价工作仅对部分样本县开展评价、分析数据、现场核实，这对全面反映项目情况具有一定偏差。 </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2、该项目绩效评价指标设定时，一些效果指标难以量化，如社会效益指标、生态效益指标、可持续影响指标，这对全面反映项目绩效可能存在一定的局限性。 </w:t>
      </w:r>
    </w:p>
    <w:p>
      <w:pPr>
        <w:widowControl/>
        <w:spacing w:line="480" w:lineRule="auto"/>
        <w:ind w:firstLine="560" w:firstLineChars="200"/>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3、满意度调查针对服务对象进行调查。参与问卷调查的人员是我们随机抽取的，调查对象和样本量有一定局限性，满意度情况不具有完全代表性。</w:t>
      </w:r>
    </w:p>
    <w:p>
      <w:pPr>
        <w:widowControl/>
        <w:spacing w:line="480" w:lineRule="auto"/>
        <w:ind w:firstLine="562" w:firstLineChars="200"/>
        <w:outlineLvl w:val="0"/>
        <w:rPr>
          <w:rFonts w:ascii="宋体" w:hAnsi="宋体"/>
          <w:b/>
          <w:color w:val="000000" w:themeColor="text1"/>
          <w:sz w:val="28"/>
          <w:szCs w:val="28"/>
          <w14:textFill>
            <w14:solidFill>
              <w14:schemeClr w14:val="tx1"/>
            </w14:solidFill>
          </w14:textFill>
        </w:rPr>
      </w:pPr>
      <w:bookmarkStart w:id="96" w:name="_Toc31103"/>
      <w:r>
        <w:rPr>
          <w:rFonts w:hint="eastAsia" w:ascii="宋体" w:hAnsi="宋体"/>
          <w:b/>
          <w:color w:val="000000" w:themeColor="text1"/>
          <w:sz w:val="28"/>
          <w:szCs w:val="28"/>
          <w14:textFill>
            <w14:solidFill>
              <w14:schemeClr w14:val="tx1"/>
            </w14:solidFill>
          </w14:textFill>
        </w:rPr>
        <w:t>三、绩效分析及评价结论</w:t>
      </w:r>
      <w:bookmarkEnd w:id="96"/>
    </w:p>
    <w:p>
      <w:pPr>
        <w:widowControl/>
        <w:spacing w:line="480" w:lineRule="auto"/>
        <w:ind w:firstLine="562" w:firstLineChars="200"/>
        <w:outlineLvl w:val="1"/>
        <w:rPr>
          <w:rFonts w:ascii="宋体" w:hAnsi="宋体"/>
          <w:b/>
          <w:color w:val="000000" w:themeColor="text1"/>
          <w:sz w:val="28"/>
          <w:szCs w:val="28"/>
          <w14:textFill>
            <w14:solidFill>
              <w14:schemeClr w14:val="tx1"/>
            </w14:solidFill>
          </w14:textFill>
        </w:rPr>
      </w:pPr>
      <w:bookmarkStart w:id="97" w:name="_Toc7960"/>
      <w:r>
        <w:rPr>
          <w:rFonts w:hint="eastAsia" w:ascii="宋体" w:hAnsi="宋体"/>
          <w:b/>
          <w:color w:val="000000" w:themeColor="text1"/>
          <w:sz w:val="28"/>
          <w:szCs w:val="28"/>
          <w14:textFill>
            <w14:solidFill>
              <w14:schemeClr w14:val="tx1"/>
            </w14:solidFill>
          </w14:textFill>
        </w:rPr>
        <w:t>（一）绩效分析</w:t>
      </w:r>
      <w:bookmarkEnd w:id="97"/>
    </w:p>
    <w:p>
      <w:pPr>
        <w:widowControl/>
        <w:spacing w:line="480" w:lineRule="auto"/>
        <w:ind w:firstLine="562" w:firstLineChars="200"/>
        <w:outlineLvl w:val="2"/>
        <w:rPr>
          <w:rFonts w:ascii="宋体" w:hAnsi="宋体"/>
          <w:b/>
          <w:color w:val="000000" w:themeColor="text1"/>
          <w:sz w:val="28"/>
          <w:szCs w:val="28"/>
          <w14:textFill>
            <w14:solidFill>
              <w14:schemeClr w14:val="tx1"/>
            </w14:solidFill>
          </w14:textFill>
        </w:rPr>
      </w:pPr>
      <w:bookmarkStart w:id="98" w:name="_Toc16949"/>
      <w:r>
        <w:rPr>
          <w:rFonts w:hint="eastAsia" w:ascii="宋体" w:hAnsi="宋体"/>
          <w:b/>
          <w:color w:val="000000" w:themeColor="text1"/>
          <w:sz w:val="28"/>
          <w:szCs w:val="28"/>
          <w14:textFill>
            <w14:solidFill>
              <w14:schemeClr w14:val="tx1"/>
            </w14:solidFill>
          </w14:textFill>
        </w:rPr>
        <w:t>1、投入</w:t>
      </w:r>
      <w:bookmarkEnd w:id="98"/>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2021年下达财政专项资金800万元。全省资金拨付情况如图所示：</w:t>
      </w:r>
    </w:p>
    <w:p>
      <w:pPr>
        <w:widowControl/>
        <w:spacing w:line="480" w:lineRule="auto"/>
        <w:ind w:firstLine="420" w:firstLineChars="200"/>
        <w:rPr>
          <w:rFonts w:ascii="宋体" w:hAnsi="宋体"/>
          <w:bCs/>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5187315" cy="5717540"/>
            <wp:effectExtent l="4445" t="4445" r="8890"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numPr>
          <w:ilvl w:val="0"/>
          <w:numId w:val="7"/>
        </w:numPr>
        <w:spacing w:line="480" w:lineRule="auto"/>
        <w:ind w:firstLine="562" w:firstLineChars="200"/>
        <w:outlineLvl w:val="2"/>
        <w:rPr>
          <w:rFonts w:ascii="宋体" w:hAnsi="宋体"/>
          <w:b/>
          <w:color w:val="000000" w:themeColor="text1"/>
          <w:sz w:val="28"/>
          <w:szCs w:val="28"/>
          <w14:textFill>
            <w14:solidFill>
              <w14:schemeClr w14:val="tx1"/>
            </w14:solidFill>
          </w14:textFill>
        </w:rPr>
      </w:pPr>
      <w:bookmarkStart w:id="99" w:name="_Toc14997"/>
      <w:r>
        <w:rPr>
          <w:rFonts w:hint="eastAsia" w:ascii="宋体" w:hAnsi="宋体"/>
          <w:b/>
          <w:color w:val="000000" w:themeColor="text1"/>
          <w:sz w:val="28"/>
          <w:szCs w:val="28"/>
          <w14:textFill>
            <w14:solidFill>
              <w14:schemeClr w14:val="tx1"/>
            </w14:solidFill>
          </w14:textFill>
        </w:rPr>
        <w:t>过程</w:t>
      </w:r>
      <w:bookmarkEnd w:id="99"/>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第一阶段—准备阶段，召开相关工作会议，签订培训协议，落实培训任务，制定并上报培训实施方案、拟定新培训菜单；调整劳动力培训师资队伍，准备教材技术资料等。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bookmarkStart w:id="119" w:name="_GoBack"/>
      <w:bookmarkEnd w:id="119"/>
      <w:r>
        <w:rPr>
          <w:rFonts w:hint="eastAsia"/>
          <w:color w:val="000000" w:themeColor="text1"/>
          <w:sz w:val="28"/>
          <w:szCs w:val="28"/>
          <w14:textFill>
            <w14:solidFill>
              <w14:schemeClr w14:val="tx1"/>
            </w14:solidFill>
          </w14:textFill>
        </w:rPr>
        <w:t xml:space="preserve"> 第二阶段—实施阶段，围绕妇女创业水平提高，开展创业技能培训，以新技术、新知识、新模式开展，同时进行培训监督检查、综合管理、组织现场交流。</w:t>
      </w:r>
    </w:p>
    <w:p>
      <w:pPr>
        <w:rPr>
          <w:rFonts w:ascii="宋体" w:hAnsi="宋体"/>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第三阶段—总结阶段，按照相关培训管理办法进行项目总结、根据考核指标开展绩效评价，在自查的基础上，形成验收总结报告并上报县妇联。</w:t>
      </w:r>
    </w:p>
    <w:p>
      <w:pPr>
        <w:widowControl/>
        <w:numPr>
          <w:ilvl w:val="0"/>
          <w:numId w:val="7"/>
        </w:numPr>
        <w:spacing w:line="480" w:lineRule="auto"/>
        <w:ind w:firstLine="562" w:firstLineChars="200"/>
        <w:outlineLvl w:val="2"/>
        <w:rPr>
          <w:rFonts w:ascii="宋体" w:hAnsi="宋体"/>
          <w:b/>
          <w:color w:val="000000" w:themeColor="text1"/>
          <w:sz w:val="28"/>
          <w:szCs w:val="28"/>
          <w14:textFill>
            <w14:solidFill>
              <w14:schemeClr w14:val="tx1"/>
            </w14:solidFill>
          </w14:textFill>
        </w:rPr>
      </w:pPr>
      <w:bookmarkStart w:id="100" w:name="_Toc5122"/>
      <w:r>
        <w:rPr>
          <w:rFonts w:hint="eastAsia" w:ascii="宋体" w:hAnsi="宋体"/>
          <w:b/>
          <w:color w:val="000000" w:themeColor="text1"/>
          <w:sz w:val="28"/>
          <w:szCs w:val="28"/>
          <w14:textFill>
            <w14:solidFill>
              <w14:schemeClr w14:val="tx1"/>
            </w14:solidFill>
          </w14:textFill>
        </w:rPr>
        <w:t>产出</w:t>
      </w:r>
      <w:bookmarkEnd w:id="100"/>
    </w:p>
    <w:p>
      <w:pPr>
        <w:widowControl/>
        <w:spacing w:line="480" w:lineRule="auto"/>
        <w:ind w:firstLine="560" w:firstLineChars="200"/>
        <w:outlineLvl w:val="2"/>
        <w:rPr>
          <w:rFonts w:ascii="宋体" w:hAnsi="宋体"/>
          <w:bCs/>
          <w:color w:val="000000" w:themeColor="text1"/>
          <w:sz w:val="28"/>
          <w:szCs w:val="28"/>
          <w14:textFill>
            <w14:solidFill>
              <w14:schemeClr w14:val="tx1"/>
            </w14:solidFill>
          </w14:textFill>
        </w:rPr>
      </w:pPr>
      <w:bookmarkStart w:id="101" w:name="_Toc18689"/>
      <w:r>
        <w:rPr>
          <w:rFonts w:hint="eastAsia" w:ascii="宋体" w:hAnsi="宋体"/>
          <w:bCs/>
          <w:color w:val="000000" w:themeColor="text1"/>
          <w:sz w:val="28"/>
          <w:szCs w:val="28"/>
          <w14:textFill>
            <w14:solidFill>
              <w14:schemeClr w14:val="tx1"/>
            </w14:solidFill>
          </w14:textFill>
        </w:rPr>
        <w:t>“巾帼扶贫车间”项目是省财政厅、省妇联共同实施的妇女就业扶贫项目，有效解决了农村脱贫妇女就地就近就业问题。2021年奖补“巾帼扶贫车间”125家，举办“巾帼扶贫车间”骨干培训班24期，骨干培训班共计涉及22个县，培训“车间”负责人及骨干1588人。扶持全省“巾帼扶贫车间”防疫、复工复产、持续健康发展，助力全省巩固拓展脱贫攻坚成果同乡村振兴有些衔接工作大局，完成预期目标。</w:t>
      </w:r>
    </w:p>
    <w:p>
      <w:pPr>
        <w:widowControl/>
        <w:spacing w:line="480" w:lineRule="auto"/>
        <w:ind w:firstLine="562" w:firstLineChars="200"/>
        <w:outlineLvl w:val="2"/>
        <w:rPr>
          <w:rFonts w:ascii="宋体" w:hAnsi="宋体"/>
          <w:b/>
          <w:color w:val="000000" w:themeColor="text1"/>
          <w:sz w:val="28"/>
          <w:szCs w:val="28"/>
          <w14:textFill>
            <w14:solidFill>
              <w14:schemeClr w14:val="tx1"/>
            </w14:solidFill>
          </w14:textFill>
        </w:rPr>
      </w:pPr>
      <w:bookmarkStart w:id="102" w:name="OLE_LINK1"/>
      <w:r>
        <w:rPr>
          <w:rFonts w:hint="eastAsia" w:ascii="宋体" w:hAnsi="宋体"/>
          <w:b/>
          <w:color w:val="000000" w:themeColor="text1"/>
          <w:sz w:val="28"/>
          <w:szCs w:val="28"/>
          <w14:textFill>
            <w14:solidFill>
              <w14:schemeClr w14:val="tx1"/>
            </w14:solidFill>
          </w14:textFill>
        </w:rPr>
        <w:t>4、</w:t>
      </w:r>
      <w:bookmarkEnd w:id="101"/>
      <w:r>
        <w:rPr>
          <w:rFonts w:hint="eastAsia" w:ascii="宋体" w:hAnsi="宋体"/>
          <w:b/>
          <w:color w:val="000000" w:themeColor="text1"/>
          <w:sz w:val="28"/>
          <w:szCs w:val="28"/>
          <w14:textFill>
            <w14:solidFill>
              <w14:schemeClr w14:val="tx1"/>
            </w14:solidFill>
          </w14:textFill>
        </w:rPr>
        <w:t>效益</w:t>
      </w:r>
    </w:p>
    <w:p>
      <w:pPr>
        <w:widowControl/>
        <w:spacing w:line="480" w:lineRule="auto"/>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（1）经济效益</w:t>
      </w:r>
    </w:p>
    <w:bookmarkEnd w:id="102"/>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通过项目资金的扶持奖励，“巾帼扶贫车间”生产经营规模进一步扩大，生产经营能力进一步增强，通过精准岗位技能培训，车间员工综合素质和岗位专业技能得到明显提升，车间“五个一”活动的开展，带动了员工奋勇争先、拼创业绩的创业劲头，员工的凝聚力和向心力明显增强，带动了产值增加、效益提升；</w:t>
      </w:r>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奖补扶持的“巾帼扶贫车间”带动脱贫妇女就业人数均超过10人，“巾帼扶贫车间”骨干培训考核合格；奖补“巾帼扶贫车间”建设情况验收及时；扶持“巾帼扶贫车间”防疫、复工复产及时；“巾帼扶贫车间”骨干培训开展及时，骨干培训班共计涉及22个县，培训1588人次，培训合格率95%以上，培训满意度90%以上，带动农村妇女就近就业1.4万人以上；全省“巾帼扶贫车间”541个，就业妇女30701人，同比增长18.11%，</w:t>
      </w:r>
      <w:bookmarkStart w:id="103" w:name="OLE_LINK2"/>
      <w:r>
        <w:rPr>
          <w:rFonts w:hint="eastAsia" w:ascii="宋体" w:hAnsi="宋体"/>
          <w:bCs/>
          <w:color w:val="000000" w:themeColor="text1"/>
          <w:sz w:val="28"/>
          <w:szCs w:val="28"/>
          <w14:textFill>
            <w14:solidFill>
              <w14:schemeClr w14:val="tx1"/>
            </w14:solidFill>
          </w14:textFill>
        </w:rPr>
        <w:t>其中脱贫妇女6416人，同比增长8.43%；</w:t>
      </w:r>
      <w:bookmarkEnd w:id="103"/>
      <w:bookmarkStart w:id="104" w:name="OLE_LINK3"/>
      <w:r>
        <w:rPr>
          <w:rFonts w:hint="eastAsia" w:ascii="宋体" w:hAnsi="宋体"/>
          <w:bCs/>
          <w:color w:val="000000" w:themeColor="text1"/>
          <w:sz w:val="28"/>
          <w:szCs w:val="28"/>
          <w14:textFill>
            <w14:solidFill>
              <w14:schemeClr w14:val="tx1"/>
            </w14:solidFill>
          </w14:textFill>
        </w:rPr>
        <w:t>“巾帼扶贫车间”就业妇女人均月收入2000元，同比增长2.77%</w:t>
      </w:r>
      <w:bookmarkEnd w:id="104"/>
      <w:r>
        <w:rPr>
          <w:rFonts w:hint="eastAsia" w:ascii="宋体" w:hAnsi="宋体"/>
          <w:bCs/>
          <w:color w:val="000000" w:themeColor="text1"/>
          <w:sz w:val="28"/>
          <w:szCs w:val="28"/>
          <w14:textFill>
            <w14:solidFill>
              <w14:schemeClr w14:val="tx1"/>
            </w14:solidFill>
          </w14:textFill>
        </w:rPr>
        <w:t>。</w:t>
      </w:r>
    </w:p>
    <w:p>
      <w:pPr>
        <w:widowControl/>
        <w:spacing w:line="480" w:lineRule="auto"/>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（2）社会效益</w:t>
      </w:r>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巾帼扶贫车间”吸纳脱贫妇女就近就业人数达到11000人以上，促进就业妇女增收致富信心更足，激发内生动力方面作用明显，提高了助力乡村振兴贡献率，提高了助力妇女脱贫贡献率。有效提升了车间经济效益和工人技术水平，使“车间”感受到党和政府的温暖，增强了加速发展、带动妇女创业就业信心，提升了妇女岗位技能和社会荣誉感，增加了家庭经济收入，为巩固脱贫攻坚成果、推进乡村振兴、维护社会稳定产生了良好的社会效益。</w:t>
      </w:r>
      <w:bookmarkStart w:id="105" w:name="_Toc2911"/>
    </w:p>
    <w:p>
      <w:pPr>
        <w:widowControl/>
        <w:spacing w:line="480" w:lineRule="auto"/>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5.指标完成情况分析</w:t>
      </w:r>
      <w:bookmarkEnd w:id="105"/>
    </w:p>
    <w:p>
      <w:pPr>
        <w:widowControl/>
        <w:spacing w:line="48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2021年度省妇联下拨培训资金800万元，专项资金按时足额拨付，资金使用率为100%。</w:t>
      </w:r>
    </w:p>
    <w:p>
      <w:pPr>
        <w:widowControl/>
        <w:spacing w:line="480" w:lineRule="auto"/>
        <w:ind w:firstLine="562" w:firstLineChars="200"/>
        <w:outlineLvl w:val="1"/>
        <w:rPr>
          <w:rFonts w:ascii="宋体" w:hAnsi="宋体"/>
          <w:b/>
          <w:bCs/>
          <w:color w:val="000000" w:themeColor="text1"/>
          <w:sz w:val="28"/>
          <w:szCs w:val="28"/>
          <w14:textFill>
            <w14:solidFill>
              <w14:schemeClr w14:val="tx1"/>
            </w14:solidFill>
          </w14:textFill>
        </w:rPr>
      </w:pPr>
      <w:bookmarkStart w:id="106" w:name="_Toc28840"/>
      <w:r>
        <w:rPr>
          <w:rFonts w:hint="eastAsia" w:ascii="宋体" w:hAnsi="宋体"/>
          <w:b/>
          <w:bCs/>
          <w:color w:val="000000" w:themeColor="text1"/>
          <w:sz w:val="28"/>
          <w:szCs w:val="28"/>
          <w14:textFill>
            <w14:solidFill>
              <w14:schemeClr w14:val="tx1"/>
            </w14:solidFill>
          </w14:textFill>
        </w:rPr>
        <w:t>（二）评价结论</w:t>
      </w:r>
      <w:bookmarkEnd w:id="106"/>
    </w:p>
    <w:p>
      <w:pPr>
        <w:widowControl/>
        <w:spacing w:line="480" w:lineRule="auto"/>
        <w:ind w:firstLine="562" w:firstLineChars="200"/>
        <w:rPr>
          <w:rFonts w:ascii="宋体" w:hAnsi="宋体"/>
          <w:b/>
          <w:bCs/>
          <w:color w:val="000000" w:themeColor="text1"/>
          <w:sz w:val="28"/>
          <w:szCs w:val="28"/>
          <w14:textFill>
            <w14:solidFill>
              <w14:schemeClr w14:val="tx1"/>
            </w14:solidFill>
          </w14:textFill>
        </w:rPr>
      </w:pPr>
      <w:bookmarkStart w:id="107" w:name="_Toc14356_WPSOffice_Level3"/>
      <w:r>
        <w:rPr>
          <w:rFonts w:hint="eastAsia" w:ascii="宋体" w:hAnsi="宋体"/>
          <w:b/>
          <w:bCs/>
          <w:color w:val="000000" w:themeColor="text1"/>
          <w:sz w:val="28"/>
          <w:szCs w:val="28"/>
          <w14:textFill>
            <w14:solidFill>
              <w14:schemeClr w14:val="tx1"/>
            </w14:solidFill>
          </w14:textFill>
        </w:rPr>
        <w:t>1、评分结果</w:t>
      </w:r>
      <w:bookmarkEnd w:id="107"/>
    </w:p>
    <w:p>
      <w:pPr>
        <w:widowControl/>
        <w:spacing w:line="480" w:lineRule="auto"/>
        <w:ind w:left="420" w:leftChars="200"/>
        <w:rPr>
          <w:rFonts w:ascii="宋体" w:hAnsi="宋体"/>
          <w:color w:val="000000" w:themeColor="text1"/>
          <w:sz w:val="28"/>
          <w:szCs w:val="28"/>
          <w14:textFill>
            <w14:solidFill>
              <w14:schemeClr w14:val="tx1"/>
            </w14:solidFill>
          </w14:textFill>
        </w:rPr>
      </w:pPr>
      <w:bookmarkStart w:id="108" w:name="_Toc28908_WPSOffice_Level3"/>
      <w:r>
        <w:rPr>
          <w:rFonts w:hint="eastAsia" w:ascii="宋体" w:hAnsi="宋体"/>
          <w:color w:val="000000" w:themeColor="text1"/>
          <w:sz w:val="28"/>
          <w:szCs w:val="28"/>
          <w14:textFill>
            <w14:solidFill>
              <w14:schemeClr w14:val="tx1"/>
            </w14:solidFill>
          </w14:textFill>
        </w:rPr>
        <w:t>（1）临夏州</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（2）定西市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（3）庆阳市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（4）天水市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.00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（5）平凉市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（6）陇南市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0</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（7）酒泉市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.00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（8）张掖市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w:t>
            </w:r>
            <w:r>
              <w:rPr>
                <w:rFonts w:ascii="宋体" w:hAnsi="宋体"/>
                <w:color w:val="000000" w:themeColor="text1"/>
                <w:sz w:val="28"/>
                <w:szCs w:val="28"/>
                <w14:textFill>
                  <w14:solidFill>
                    <w14:schemeClr w14:val="tx1"/>
                  </w14:solidFill>
                </w14:textFill>
              </w:rPr>
              <w:t>0</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49</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0</w:t>
            </w:r>
          </w:p>
        </w:tc>
      </w:tr>
    </w:tbl>
    <w:p>
      <w:pPr>
        <w:widowControl/>
        <w:spacing w:line="480" w:lineRule="auto"/>
        <w:ind w:left="420" w:left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（9）白银市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49</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bl>
    <w:p>
      <w:pPr>
        <w:widowControl/>
        <w:adjustRightInd w:val="0"/>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（10）武威市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w:t>
            </w:r>
            <w:r>
              <w:rPr>
                <w:rFonts w:ascii="宋体" w:hAnsi="宋体"/>
                <w:color w:val="000000" w:themeColor="text1"/>
                <w:sz w:val="28"/>
                <w:szCs w:val="28"/>
                <w14:textFill>
                  <w14:solidFill>
                    <w14:schemeClr w14:val="tx1"/>
                  </w14:solidFill>
                </w14:textFill>
              </w:rPr>
              <w:t>0</w:t>
            </w:r>
            <w:r>
              <w:rPr>
                <w:rFonts w:hint="eastAsia" w:ascii="宋体" w:hAnsi="宋体"/>
                <w:color w:val="000000" w:themeColor="text1"/>
                <w:sz w:val="28"/>
                <w:szCs w:val="28"/>
                <w14:textFill>
                  <w14:solidFill>
                    <w14:schemeClr w14:val="tx1"/>
                  </w14:solidFill>
                </w14:textFill>
              </w:rPr>
              <w:t>.0</w:t>
            </w:r>
            <w:r>
              <w:rPr>
                <w:rFonts w:ascii="宋体" w:hAnsi="宋体"/>
                <w:color w:val="000000" w:themeColor="text1"/>
                <w:sz w:val="28"/>
                <w:szCs w:val="2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.0</w:t>
            </w:r>
            <w:r>
              <w:rPr>
                <w:rFonts w:ascii="宋体" w:hAnsi="宋体"/>
                <w:color w:val="000000" w:themeColor="text1"/>
                <w:sz w:val="28"/>
                <w:szCs w:val="28"/>
                <w14:textFill>
                  <w14:solidFill>
                    <w14:schemeClr w14:val="tx1"/>
                  </w14:solidFill>
                </w14:textFill>
              </w:rPr>
              <w:t>5</w:t>
            </w:r>
          </w:p>
        </w:tc>
      </w:tr>
    </w:tbl>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（11）甘南州</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48</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0</w:t>
            </w:r>
          </w:p>
        </w:tc>
      </w:tr>
    </w:tbl>
    <w:p>
      <w:pPr>
        <w:widowControl/>
        <w:adjustRightInd w:val="0"/>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（12）金昌市</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48</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0</w:t>
            </w:r>
          </w:p>
        </w:tc>
      </w:tr>
    </w:tbl>
    <w:p>
      <w:pPr>
        <w:widowControl/>
        <w:adjustRightInd w:val="0"/>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（13）兰州新区</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评价指标</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A资金投入</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B资金支出进度</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C资金监管</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D资金使用成效</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48</w:t>
            </w:r>
            <w:r>
              <w:rPr>
                <w:rFonts w:hint="eastAsia" w:ascii="宋体" w:hAnsi="宋体"/>
                <w:color w:val="000000" w:themeColor="text1"/>
                <w:sz w:val="28"/>
                <w:szCs w:val="28"/>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总得分</w:t>
            </w:r>
          </w:p>
        </w:tc>
        <w:tc>
          <w:tcPr>
            <w:tcW w:w="4428" w:type="dxa"/>
          </w:tcPr>
          <w:p>
            <w:pPr>
              <w:widowControl/>
              <w:spacing w:line="480" w:lineRule="auto"/>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.00</w:t>
            </w:r>
          </w:p>
        </w:tc>
      </w:tr>
    </w:tbl>
    <w:p>
      <w:pPr>
        <w:widowControl/>
        <w:spacing w:line="480" w:lineRule="auto"/>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2、主要结论</w:t>
      </w:r>
      <w:bookmarkEnd w:id="108"/>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各地区目前的评价与排行都是依据各个地区既有存量进行的绝对评价，重视各个地区投入或产出的绝对产量，它不关注地区发展的条件和因素。2021年度巾帼扶贫车间绩效评价是依据产出与投入之比对各个地区进行的相对评价。对十二个市州及兰州新区绩效评价的研究表明，通过以上对地区各项指标分别进行实质性分析、计算后综合评价得分情况如下：</w:t>
      </w:r>
    </w:p>
    <w:p>
      <w:pPr>
        <w:widowControl/>
        <w:spacing w:line="480" w:lineRule="auto"/>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临夏州9</w:t>
      </w:r>
      <w:r>
        <w:rPr>
          <w:rFonts w:ascii="宋体" w:hAnsi="宋体"/>
          <w:color w:val="000000" w:themeColor="text1"/>
          <w:sz w:val="28"/>
          <w:szCs w:val="28"/>
          <w14:textFill>
            <w14:solidFill>
              <w14:schemeClr w14:val="tx1"/>
            </w14:solidFill>
          </w14:textFill>
        </w:rPr>
        <w:t>6.5</w:t>
      </w:r>
      <w:r>
        <w:rPr>
          <w:rFonts w:hint="eastAsia" w:ascii="宋体" w:hAnsi="宋体"/>
          <w:color w:val="000000" w:themeColor="text1"/>
          <w:sz w:val="28"/>
          <w:szCs w:val="28"/>
          <w14:textFill>
            <w14:solidFill>
              <w14:schemeClr w14:val="tx1"/>
            </w14:solidFill>
          </w14:textFill>
        </w:rPr>
        <w:t>分、定西市9</w:t>
      </w:r>
      <w:r>
        <w:rPr>
          <w:rFonts w:ascii="宋体" w:hAnsi="宋体"/>
          <w:color w:val="000000" w:themeColor="text1"/>
          <w:sz w:val="28"/>
          <w:szCs w:val="28"/>
          <w14:textFill>
            <w14:solidFill>
              <w14:schemeClr w14:val="tx1"/>
            </w14:solidFill>
          </w14:textFill>
        </w:rPr>
        <w:t>6.3</w:t>
      </w:r>
      <w:r>
        <w:rPr>
          <w:rFonts w:hint="eastAsia" w:ascii="宋体" w:hAnsi="宋体"/>
          <w:color w:val="000000" w:themeColor="text1"/>
          <w:sz w:val="28"/>
          <w:szCs w:val="28"/>
          <w14:textFill>
            <w14:solidFill>
              <w14:schemeClr w14:val="tx1"/>
            </w14:solidFill>
          </w14:textFill>
        </w:rPr>
        <w:t>分、、庆阳市9</w:t>
      </w:r>
      <w:r>
        <w:rPr>
          <w:rFonts w:ascii="宋体" w:hAnsi="宋体"/>
          <w:color w:val="000000" w:themeColor="text1"/>
          <w:sz w:val="28"/>
          <w:szCs w:val="28"/>
          <w14:textFill>
            <w14:solidFill>
              <w14:schemeClr w14:val="tx1"/>
            </w14:solidFill>
          </w14:textFill>
        </w:rPr>
        <w:t>6.1</w:t>
      </w:r>
      <w:r>
        <w:rPr>
          <w:rFonts w:hint="eastAsia" w:ascii="宋体" w:hAnsi="宋体"/>
          <w:color w:val="000000" w:themeColor="text1"/>
          <w:sz w:val="28"/>
          <w:szCs w:val="28"/>
          <w14:textFill>
            <w14:solidFill>
              <w14:schemeClr w14:val="tx1"/>
            </w14:solidFill>
          </w14:textFill>
        </w:rPr>
        <w:t>分、天水市9</w:t>
      </w:r>
      <w:r>
        <w:rPr>
          <w:rFonts w:ascii="宋体" w:hAnsi="宋体"/>
          <w:color w:val="000000" w:themeColor="text1"/>
          <w:sz w:val="28"/>
          <w:szCs w:val="28"/>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分、平凉市9</w:t>
      </w:r>
      <w:r>
        <w:rPr>
          <w:rFonts w:ascii="宋体" w:hAnsi="宋体"/>
          <w:color w:val="000000" w:themeColor="text1"/>
          <w:sz w:val="28"/>
          <w:szCs w:val="28"/>
          <w14:textFill>
            <w14:solidFill>
              <w14:schemeClr w14:val="tx1"/>
            </w14:solidFill>
          </w14:textFill>
        </w:rPr>
        <w:t>5.7</w:t>
      </w:r>
      <w:r>
        <w:rPr>
          <w:rFonts w:hint="eastAsia" w:ascii="宋体" w:hAnsi="宋体"/>
          <w:color w:val="000000" w:themeColor="text1"/>
          <w:sz w:val="28"/>
          <w:szCs w:val="28"/>
          <w14:textFill>
            <w14:solidFill>
              <w14:schemeClr w14:val="tx1"/>
            </w14:solidFill>
          </w14:textFill>
        </w:rPr>
        <w:t>分、陇南市</w:t>
      </w:r>
      <w:r>
        <w:rPr>
          <w:rFonts w:ascii="宋体" w:hAnsi="宋体"/>
          <w:color w:val="000000" w:themeColor="text1"/>
          <w:sz w:val="28"/>
          <w:szCs w:val="28"/>
          <w14:textFill>
            <w14:solidFill>
              <w14:schemeClr w14:val="tx1"/>
            </w14:solidFill>
          </w14:textFill>
        </w:rPr>
        <w:t>95.4</w:t>
      </w:r>
      <w:r>
        <w:rPr>
          <w:rFonts w:hint="eastAsia" w:ascii="宋体" w:hAnsi="宋体"/>
          <w:color w:val="000000" w:themeColor="text1"/>
          <w:sz w:val="28"/>
          <w:szCs w:val="28"/>
          <w14:textFill>
            <w14:solidFill>
              <w14:schemeClr w14:val="tx1"/>
            </w14:solidFill>
          </w14:textFill>
        </w:rPr>
        <w:t>分、酒泉市9</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分、张掖市9</w:t>
      </w:r>
      <w:r>
        <w:rPr>
          <w:rFonts w:ascii="宋体" w:hAnsi="宋体"/>
          <w:color w:val="000000" w:themeColor="text1"/>
          <w:sz w:val="28"/>
          <w:szCs w:val="28"/>
          <w14:textFill>
            <w14:solidFill>
              <w14:schemeClr w14:val="tx1"/>
            </w14:solidFill>
          </w14:textFill>
        </w:rPr>
        <w:t>4.3</w:t>
      </w:r>
      <w:r>
        <w:rPr>
          <w:rFonts w:hint="eastAsia" w:ascii="宋体" w:hAnsi="宋体"/>
          <w:color w:val="000000" w:themeColor="text1"/>
          <w:sz w:val="28"/>
          <w:szCs w:val="28"/>
          <w14:textFill>
            <w14:solidFill>
              <w14:schemeClr w14:val="tx1"/>
            </w14:solidFill>
          </w14:textFill>
        </w:rPr>
        <w:t>分、白银市9</w:t>
      </w:r>
      <w:r>
        <w:rPr>
          <w:rFonts w:ascii="宋体" w:hAnsi="宋体"/>
          <w:color w:val="000000" w:themeColor="text1"/>
          <w:sz w:val="28"/>
          <w:szCs w:val="28"/>
          <w14:textFill>
            <w14:solidFill>
              <w14:schemeClr w14:val="tx1"/>
            </w14:solidFill>
          </w14:textFill>
        </w:rPr>
        <w:t>4.1</w:t>
      </w:r>
      <w:r>
        <w:rPr>
          <w:rFonts w:hint="eastAsia" w:ascii="宋体" w:hAnsi="宋体"/>
          <w:color w:val="000000" w:themeColor="text1"/>
          <w:sz w:val="28"/>
          <w:szCs w:val="28"/>
          <w14:textFill>
            <w14:solidFill>
              <w14:schemeClr w14:val="tx1"/>
            </w14:solidFill>
          </w14:textFill>
        </w:rPr>
        <w:t>分、武威市9</w:t>
      </w:r>
      <w:r>
        <w:rPr>
          <w:rFonts w:ascii="宋体" w:hAnsi="宋体"/>
          <w:color w:val="000000" w:themeColor="text1"/>
          <w:sz w:val="28"/>
          <w:szCs w:val="28"/>
          <w14:textFill>
            <w14:solidFill>
              <w14:schemeClr w14:val="tx1"/>
            </w14:solidFill>
          </w14:textFill>
        </w:rPr>
        <w:t>4.05</w:t>
      </w:r>
      <w:r>
        <w:rPr>
          <w:rFonts w:hint="eastAsia" w:ascii="宋体" w:hAnsi="宋体"/>
          <w:color w:val="000000" w:themeColor="text1"/>
          <w:sz w:val="28"/>
          <w:szCs w:val="28"/>
          <w14:textFill>
            <w14:solidFill>
              <w14:schemeClr w14:val="tx1"/>
            </w14:solidFill>
          </w14:textFill>
        </w:rPr>
        <w:t>分、甘南州9</w:t>
      </w:r>
      <w:r>
        <w:rPr>
          <w:rFonts w:ascii="宋体" w:hAnsi="宋体"/>
          <w:color w:val="000000" w:themeColor="text1"/>
          <w:sz w:val="28"/>
          <w:szCs w:val="28"/>
          <w14:textFill>
            <w14:solidFill>
              <w14:schemeClr w14:val="tx1"/>
            </w14:solidFill>
          </w14:textFill>
        </w:rPr>
        <w:t>3.5</w:t>
      </w:r>
      <w:r>
        <w:rPr>
          <w:rFonts w:hint="eastAsia" w:ascii="宋体" w:hAnsi="宋体"/>
          <w:color w:val="000000" w:themeColor="text1"/>
          <w:sz w:val="28"/>
          <w:szCs w:val="28"/>
          <w14:textFill>
            <w14:solidFill>
              <w14:schemeClr w14:val="tx1"/>
            </w14:solidFill>
          </w14:textFill>
        </w:rPr>
        <w:t>分、金昌市</w:t>
      </w:r>
      <w:r>
        <w:rPr>
          <w:rFonts w:ascii="宋体" w:hAnsi="宋体"/>
          <w:color w:val="000000" w:themeColor="text1"/>
          <w:sz w:val="28"/>
          <w:szCs w:val="28"/>
          <w14:textFill>
            <w14:solidFill>
              <w14:schemeClr w14:val="tx1"/>
            </w14:solidFill>
          </w14:textFill>
        </w:rPr>
        <w:t>93.1</w:t>
      </w:r>
      <w:r>
        <w:rPr>
          <w:rFonts w:hint="eastAsia" w:ascii="宋体" w:hAnsi="宋体"/>
          <w:color w:val="000000" w:themeColor="text1"/>
          <w:sz w:val="28"/>
          <w:szCs w:val="28"/>
          <w14:textFill>
            <w14:solidFill>
              <w14:schemeClr w14:val="tx1"/>
            </w14:solidFill>
          </w14:textFill>
        </w:rPr>
        <w:t>分、兰州新区9</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 xml:space="preserve">分。                                                                                                                                                                                                                                                                                                                                                                                                                                                                                                                                                                                                                                                                                                                                                                                                                                                                                                                                                                                                                                                                                                                                                                                                                                                                                                                                                                                                                                                                                                                                                                                                                                                                                                                                                                                                                                                                                                                                                                                                                                                                                                                                                                                                                                                                                                                                                                                                                                                                                                                                                                                                                                                                                                                                                                                                                                                                                                                                                                                                                                                                                                                                                                                                                                                                                                                                                                                                                                                                                                                                                                                                                                                                                                                                                                                                                                                                                                                                                                                                                                                                                                              </w:t>
      </w:r>
    </w:p>
    <w:p>
      <w:pPr>
        <w:widowControl/>
        <w:spacing w:line="480" w:lineRule="auto"/>
        <w:ind w:firstLine="562" w:firstLineChars="200"/>
        <w:outlineLvl w:val="0"/>
        <w:rPr>
          <w:rFonts w:ascii="宋体" w:hAnsi="宋体"/>
          <w:b/>
          <w:color w:val="000000" w:themeColor="text1"/>
          <w:sz w:val="28"/>
          <w:szCs w:val="28"/>
          <w14:textFill>
            <w14:solidFill>
              <w14:schemeClr w14:val="tx1"/>
            </w14:solidFill>
          </w14:textFill>
        </w:rPr>
      </w:pPr>
      <w:bookmarkStart w:id="109" w:name="_Toc2640"/>
      <w:r>
        <w:rPr>
          <w:rFonts w:hint="eastAsia" w:ascii="宋体" w:hAnsi="宋体"/>
          <w:b/>
          <w:color w:val="000000" w:themeColor="text1"/>
          <w:sz w:val="28"/>
          <w:szCs w:val="28"/>
          <w14:textFill>
            <w14:solidFill>
              <w14:schemeClr w14:val="tx1"/>
            </w14:solidFill>
          </w14:textFill>
        </w:rPr>
        <w:t>四、主要经验及做法、存在的问题和建议</w:t>
      </w:r>
      <w:bookmarkEnd w:id="109"/>
    </w:p>
    <w:p>
      <w:pPr>
        <w:widowControl/>
        <w:spacing w:line="480" w:lineRule="auto"/>
        <w:ind w:left="420" w:leftChars="200"/>
        <w:outlineLvl w:val="1"/>
        <w:rPr>
          <w:color w:val="000000" w:themeColor="text1"/>
          <w:sz w:val="28"/>
          <w:szCs w:val="28"/>
          <w14:textFill>
            <w14:solidFill>
              <w14:schemeClr w14:val="tx1"/>
            </w14:solidFill>
          </w14:textFill>
        </w:rPr>
      </w:pPr>
      <w:bookmarkStart w:id="110" w:name="_Toc13502"/>
      <w:r>
        <w:rPr>
          <w:rFonts w:hint="eastAsia" w:ascii="宋体" w:hAnsi="宋体"/>
          <w:b/>
          <w:color w:val="000000" w:themeColor="text1"/>
          <w:sz w:val="28"/>
          <w:szCs w:val="28"/>
          <w14:textFill>
            <w14:solidFill>
              <w14:schemeClr w14:val="tx1"/>
            </w14:solidFill>
          </w14:textFill>
        </w:rPr>
        <w:t>（一）主要经验及做法</w:t>
      </w:r>
      <w:bookmarkEnd w:id="110"/>
    </w:p>
    <w:p>
      <w:pPr>
        <w:widowControl/>
        <w:spacing w:line="480" w:lineRule="auto"/>
        <w:ind w:firstLine="560" w:firstLineChars="200"/>
        <w:rPr>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高度重视，强化协调服务。对“车间”专项资金项目高度重视，全面推进车间专项资金省市县三级妇联分级负责机制，个别县区实行妇联主席负总责制，分管副主席具体负责，落实项目资金到位，对资金使用进行指导和监督，按照《甘肃省“巾帼扶贫车间”项目管理办法》要求，严格监督管理、及时指导“车间”管好用好扶持奖励资金，发挥好示范带动作用，把推进妇女就业增收作为巩固脱贫攻坚成果助力乡村振兴的重要抓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color w:val="000000" w:themeColor="text1"/>
          <w:sz w:val="28"/>
          <w:szCs w:val="28"/>
          <w14:textFill>
            <w14:solidFill>
              <w14:schemeClr w14:val="tx1"/>
            </w14:solidFill>
          </w14:textFill>
        </w:rPr>
        <w:t>为了让企业持续经营，群众得实惠，增收加速度，各县级妇联积极协调县、镇政府在巾帼扶贫车间建设的厂地、资金、设施、人员、税收等各方面给予扶持，将闲置校舍、村部等进行改造后免费提供给企业使用，协调金融部门为符合条件的企业(个人)申请妇女创业担保贷款，简化办理程序，及时发放到位；</w:t>
      </w:r>
    </w:p>
    <w:p>
      <w:pPr>
        <w:widowControl/>
        <w:spacing w:line="480" w:lineRule="auto"/>
        <w:ind w:firstLine="560" w:firstLineChars="200"/>
        <w:rPr>
          <w:rFonts w:ascii="宋体" w:hAnsi="宋体" w:cs="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深入调研，激发内生动力。对</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妇女情况进行全面调研，特别是对脱贫妇女的家庭状况、致贫原因、实际需求等进行了解。坚持增收和扶志相结合，组织各级妇联干部充分利用驻村帮扶、深入脱贫户家中，通过耐心细致地向</w:t>
      </w:r>
      <w:r>
        <w:rPr>
          <w:rFonts w:hint="eastAsia" w:ascii="宋体" w:hAnsi="宋体" w:cs="宋体"/>
          <w:color w:val="000000" w:themeColor="text1"/>
          <w:sz w:val="28"/>
          <w:szCs w:val="28"/>
          <w:lang w:eastAsia="zh-CN"/>
          <w14:textFill>
            <w14:solidFill>
              <w14:schemeClr w14:val="tx1"/>
            </w14:solidFill>
          </w14:textFill>
        </w:rPr>
        <w:t>脱贫</w:t>
      </w:r>
      <w:r>
        <w:rPr>
          <w:rFonts w:hint="eastAsia" w:ascii="宋体" w:hAnsi="宋体" w:cs="宋体"/>
          <w:color w:val="000000" w:themeColor="text1"/>
          <w:sz w:val="28"/>
          <w:szCs w:val="28"/>
          <w14:textFill>
            <w14:solidFill>
              <w14:schemeClr w14:val="tx1"/>
            </w14:solidFill>
          </w14:textFill>
        </w:rPr>
        <w:t>户宣讲党和国家乡村振兴的好政策，引导广大妇女不等不靠，树立致富信心，主动投身乡村振兴巾帼行动。</w:t>
      </w:r>
    </w:p>
    <w:p>
      <w:pPr>
        <w:widowControl/>
        <w:spacing w:line="480" w:lineRule="auto"/>
        <w:rPr>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个别地区妇联动员鼓励巾帼脱贫示范基地、“妇”字号示范基地，以“一带一”方式，采取“妇联+企业（车间）+基地+妇女”的生产经营模式，鼓励企业广泛吸纳未就业或者无收入妇女到就近车间工作，实现脱贫妇女就地就近务工增收。有些县妇联充分发挥“联”字作用，在落实“政府主导、企业带动、妇联推动、妇女</w:t>
      </w:r>
      <w:r>
        <w:rPr>
          <w:rFonts w:hint="eastAsia"/>
          <w:color w:val="000000" w:themeColor="text1"/>
          <w:sz w:val="28"/>
          <w:szCs w:val="28"/>
          <w14:textFill>
            <w14:solidFill>
              <w14:schemeClr w14:val="tx1"/>
            </w14:solidFill>
          </w14:textFill>
        </w:rPr>
        <w:t>参与”的工作机制上作出了很多有益的探索；</w:t>
      </w:r>
    </w:p>
    <w:p>
      <w:pPr>
        <w:widowControl/>
        <w:spacing w:line="480" w:lineRule="auto"/>
        <w:ind w:firstLine="560" w:firstLineChars="200"/>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3、助推车间发展，促进就业增收。为促进车间快速发展，各“巾帼扶贫车间”与当地主导产业发展相结合，采取“车间+农户”或“妇联+车间+合作社+妇女”等生产经营模式，引领带动妇女发展订单农业、乡村旅游、手工编织和家政服务等产业。一是配合政府积极引进企业在当地建办巾帼扶贫车间。二是与当地妇女劳动密集企业积极对接，支持他们创办巾帼扶贫车间，吸纳更多的脱贫妇女就业。三是发动巧手女能人、产业带头人、合作社、基地负责人领办创办巾帼扶贫车间；</w:t>
      </w:r>
    </w:p>
    <w:p>
      <w:pPr>
        <w:widowControl/>
        <w:spacing w:line="480" w:lineRule="auto"/>
        <w:ind w:firstLine="560" w:firstLineChars="200"/>
        <w:rPr>
          <w:rFonts w:hint="eastAsia" w:eastAsia="宋体"/>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4、开展技能培训，提升能力素质。坚持实际实用实效的原则，务实创新，主动作为，积极协助争取各级各部门培训项目，组织实施劳动力技能培训、骨干技能培训等“巾帼扶贫车间”技能培训，2021年全省举办骨干技能培训24期，着实有效的提升就业妇女素质。同时，利用县、乡微信公众平台、电视台、乡（村）宣传栏等平台，广泛宣传巾帼扶贫车间就业项目、招工要求。以“立足实际、提升技能、提质增效”为目标，在各车间中开展以比规范管理、比经济效益、比助力乡村振兴为内容的最佳业绩奖、勤奋敬业奖、道德风尚奖等评选表彰，动员和激励从业妇女提高生产积极性，提高工作效率，推动规范运行，有效提升企业综合竞争力和抵御市场风险的能力</w:t>
      </w:r>
      <w:r>
        <w:rPr>
          <w:rFonts w:hint="eastAsia"/>
          <w:color w:val="000000" w:themeColor="text1"/>
          <w:sz w:val="28"/>
          <w:szCs w:val="28"/>
          <w:lang w:eastAsia="zh-CN"/>
          <w14:textFill>
            <w14:solidFill>
              <w14:schemeClr w14:val="tx1"/>
            </w14:solidFill>
          </w14:textFill>
        </w:rPr>
        <w:t>；</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规范运营“车间”妇女组织，常态化开展“五个一”创建活动。指导“巾帼扶贫车间”开展“五个一”创建活动，把“巾帼扶贫车间”作为凝聚妇女合力，激发妇女活力的有效载体，因车间制宜，创新方法，从各车间发展实际出发，开展有针对性、实效性和可操作性创建活动。针对车间从业妇女的思想状况，强化思想引领，组织开展“喜迎二十大”“巾帼心向党”等主题教育活动，引导车间就业妇女听党话、跟党走、感党恩。组织以“立足实际、提升技能、提质增效”为目标，在从业妇女中开展争当“素质高、技术硬、收入高”的“岗位能手”，动员和激励从业妇女提高生产积极性，营造“比学赶帮”的工作氛围，为车间发展凝聚向心力。在帮助妇女走进车间当上产业工人同时，县妇联认真指导镇、村两级妇联组织同步跟进“妇女之家”工作，在“巾帼扶贫车间”建立“妇女之家”，成立妇联，组织妇女经常开展学习教育活动，及时传达党的方针政策，组织开展“百千万巾帼大宣讲”“巾帼科技直通车”活动，进一步增强广大妇女的政治素养，引导女企业家、致富带头人深入车间，为困境妇女提供一对一帮扶。如立足部分脱贫妇女到镇“陪读”的实际，主动跟进服务，协调车间采取错时工作制，让“陪读”家长边照顾孩子边打工挣钱。</w:t>
      </w:r>
    </w:p>
    <w:p>
      <w:pPr>
        <w:ind w:firstLine="562" w:firstLineChars="200"/>
        <w:rPr>
          <w:b/>
          <w:bCs/>
          <w:color w:val="000000" w:themeColor="text1"/>
          <w:sz w:val="28"/>
          <w:szCs w:val="28"/>
          <w14:textFill>
            <w14:solidFill>
              <w14:schemeClr w14:val="tx1"/>
            </w14:solidFill>
          </w14:textFill>
        </w:rPr>
      </w:pPr>
      <w:bookmarkStart w:id="111" w:name="_Toc4985"/>
      <w:r>
        <w:rPr>
          <w:rFonts w:hint="eastAsia"/>
          <w:b/>
          <w:bCs/>
          <w:color w:val="000000" w:themeColor="text1"/>
          <w:sz w:val="28"/>
          <w:szCs w:val="28"/>
          <w14:textFill>
            <w14:solidFill>
              <w14:schemeClr w14:val="tx1"/>
            </w14:solidFill>
          </w14:textFill>
        </w:rPr>
        <w:t>（二）存在的问题</w:t>
      </w:r>
      <w:bookmarkEnd w:id="111"/>
    </w:p>
    <w:p>
      <w:pPr>
        <w:numPr>
          <w:ilvl w:val="0"/>
          <w:numId w:val="8"/>
        </w:num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该项目“巾帼扶贫车间”主要集中于种养殖业、传统手工制品加工、初级农产品加工等，产业比较单一，技术含量偏低，吸纳的</w:t>
      </w:r>
      <w:r>
        <w:rPr>
          <w:rFonts w:hint="eastAsia"/>
          <w:color w:val="000000" w:themeColor="text1"/>
          <w:sz w:val="28"/>
          <w:szCs w:val="28"/>
          <w:lang w:eastAsia="zh-CN"/>
          <w14:textFill>
            <w14:solidFill>
              <w14:schemeClr w14:val="tx1"/>
            </w14:solidFill>
          </w14:textFill>
        </w:rPr>
        <w:t>脱贫</w:t>
      </w:r>
      <w:r>
        <w:rPr>
          <w:rFonts w:hint="eastAsia"/>
          <w:color w:val="000000" w:themeColor="text1"/>
          <w:sz w:val="28"/>
          <w:szCs w:val="28"/>
          <w14:textFill>
            <w14:solidFill>
              <w14:schemeClr w14:val="tx1"/>
            </w14:solidFill>
          </w14:textFill>
        </w:rPr>
        <w:t>妇女一般年龄偏大，文化素质不高，缺乏技术能力。专项资金名额有限，除了省级扶持奖励资金之外没有其它资金投入，资金扶持相对少，只能对妇女进行简单的技能培训；政府、行业部门及省市妇联要加大资金、政策支持力度，确保吸引更多的企业投身到建办扶贫车间的行列中来</w:t>
      </w:r>
      <w:r>
        <w:rPr>
          <w:rFonts w:hint="eastAsia"/>
          <w:color w:val="000000" w:themeColor="text1"/>
          <w:sz w:val="28"/>
          <w:szCs w:val="28"/>
          <w:lang w:eastAsia="zh-CN"/>
          <w14:textFill>
            <w14:solidFill>
              <w14:schemeClr w14:val="tx1"/>
            </w14:solidFill>
          </w14:textFill>
        </w:rPr>
        <w:t>；</w:t>
      </w:r>
    </w:p>
    <w:p>
      <w:pPr>
        <w:numPr>
          <w:ilvl w:val="0"/>
          <w:numId w:val="8"/>
        </w:num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企业能够引进的、项目资源匮乏。虽然前期政府部门、妇联大力鼓励引导适合妇女就业，劳动密集型企业到乡村建办车间，但由于交通、自然条件等因素影响，有意愿的企业少之又少；</w:t>
      </w:r>
    </w:p>
    <w:p>
      <w:pPr>
        <w:numPr>
          <w:ilvl w:val="0"/>
          <w:numId w:val="8"/>
        </w:num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由于部分农村妇女文化素质偏低、年龄偏大、生产能力偏弱，思想保守，对接受新事物认识不足，畏难情绪严重。有些偏远</w:t>
      </w:r>
      <w:r>
        <w:rPr>
          <w:color w:val="000000" w:themeColor="text1"/>
          <w:sz w:val="28"/>
          <w:szCs w:val="28"/>
          <w14:textFill>
            <w14:solidFill>
              <w14:schemeClr w14:val="tx1"/>
            </w14:solidFill>
          </w14:textFill>
        </w:rPr>
        <w:t>乡镇地广人稀、人员居住分散，技能培训、上下班都不方便，车间依然存在用工难</w:t>
      </w:r>
      <w:r>
        <w:rPr>
          <w:rFonts w:hint="eastAsia"/>
          <w:color w:val="000000" w:themeColor="text1"/>
          <w:sz w:val="28"/>
          <w:szCs w:val="28"/>
          <w14:textFill>
            <w14:solidFill>
              <w14:schemeClr w14:val="tx1"/>
            </w14:solidFill>
          </w14:textFill>
        </w:rPr>
        <w:t>的</w:t>
      </w:r>
      <w:r>
        <w:rPr>
          <w:color w:val="000000" w:themeColor="text1"/>
          <w:sz w:val="28"/>
          <w:szCs w:val="28"/>
          <w14:textFill>
            <w14:solidFill>
              <w14:schemeClr w14:val="tx1"/>
            </w14:solidFill>
          </w14:textFill>
        </w:rPr>
        <w:t>问题</w:t>
      </w:r>
      <w:r>
        <w:rPr>
          <w:rFonts w:hint="eastAsia"/>
          <w:color w:val="000000" w:themeColor="text1"/>
          <w:sz w:val="28"/>
          <w:szCs w:val="28"/>
          <w14:textFill>
            <w14:solidFill>
              <w14:schemeClr w14:val="tx1"/>
            </w14:solidFill>
          </w14:textFill>
        </w:rPr>
        <w:t>；</w:t>
      </w:r>
    </w:p>
    <w:p>
      <w:pPr>
        <w:numPr>
          <w:ilvl w:val="0"/>
          <w:numId w:val="8"/>
        </w:num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车间生产的产品销售渠道比较狭窄，目前主要依赖传统线下销售渠道，对于新媒体互联网直播带货销售方式还有待进一步提升，同时“巾帼扶贫车间”生产计划制定、产品订单研发、车间运营管理方面还有待进一步加强。个别“巾帼扶贫车间”规模较小，创新理念不够新，贷款融资困难，产业发展受到制约，没有形成产、供、销产业链，特别在产品创新上，彰显企业文化方面，缺乏活力</w:t>
      </w:r>
      <w:r>
        <w:rPr>
          <w:rFonts w:hint="eastAsia"/>
          <w:color w:val="000000" w:themeColor="text1"/>
          <w:sz w:val="28"/>
          <w:szCs w:val="28"/>
          <w:lang w:eastAsia="zh-CN"/>
          <w14:textFill>
            <w14:solidFill>
              <w14:schemeClr w14:val="tx1"/>
            </w14:solidFill>
          </w14:textFill>
        </w:rPr>
        <w:t>。</w:t>
      </w:r>
    </w:p>
    <w:p>
      <w:pPr>
        <w:spacing w:line="360" w:lineRule="auto"/>
        <w:ind w:firstLine="560" w:firstLineChars="200"/>
        <w:rPr>
          <w:color w:val="000000" w:themeColor="text1"/>
          <w:sz w:val="28"/>
          <w:szCs w:val="28"/>
          <w14:textFill>
            <w14:solidFill>
              <w14:schemeClr w14:val="tx1"/>
            </w14:solidFill>
          </w14:textFill>
        </w:rPr>
      </w:pPr>
    </w:p>
    <w:p>
      <w:pPr>
        <w:widowControl/>
        <w:spacing w:line="360" w:lineRule="auto"/>
        <w:ind w:left="420" w:leftChars="200"/>
        <w:outlineLvl w:val="1"/>
        <w:rPr>
          <w:rFonts w:ascii="宋体" w:hAnsi="宋体"/>
          <w:b/>
          <w:color w:val="000000" w:themeColor="text1"/>
          <w:sz w:val="28"/>
          <w:szCs w:val="28"/>
          <w14:textFill>
            <w14:solidFill>
              <w14:schemeClr w14:val="tx1"/>
            </w14:solidFill>
          </w14:textFill>
        </w:rPr>
      </w:pPr>
      <w:bookmarkStart w:id="112" w:name="_Toc20644"/>
      <w:r>
        <w:rPr>
          <w:rFonts w:hint="eastAsia" w:ascii="宋体" w:hAnsi="宋体"/>
          <w:b/>
          <w:color w:val="000000" w:themeColor="text1"/>
          <w:sz w:val="28"/>
          <w:szCs w:val="28"/>
          <w14:textFill>
            <w14:solidFill>
              <w14:schemeClr w14:val="tx1"/>
            </w14:solidFill>
          </w14:textFill>
        </w:rPr>
        <w:t>（三）建议</w:t>
      </w:r>
      <w:bookmarkEnd w:id="112"/>
    </w:p>
    <w:p>
      <w:pPr>
        <w:autoSpaceDE w:val="0"/>
        <w:autoSpaceDN w:val="0"/>
        <w:spacing w:line="360" w:lineRule="auto"/>
        <w:ind w:firstLine="640"/>
        <w:rPr>
          <w:color w:val="000000" w:themeColor="text1"/>
          <w:sz w:val="28"/>
          <w:szCs w:val="28"/>
          <w:lang w:val="zh-CN"/>
          <w14:textFill>
            <w14:solidFill>
              <w14:schemeClr w14:val="tx1"/>
            </w14:solidFill>
          </w14:textFill>
        </w:rPr>
      </w:pPr>
      <w:r>
        <w:rPr>
          <w:rFonts w:hint="eastAsia"/>
          <w:color w:val="000000" w:themeColor="text1"/>
          <w:sz w:val="28"/>
          <w:szCs w:val="28"/>
          <w14:textFill>
            <w14:solidFill>
              <w14:schemeClr w14:val="tx1"/>
            </w14:solidFill>
          </w14:textFill>
        </w:rPr>
        <w:t>1、目标绩效管理和资金规范使用是绩效评价工作的重点，</w:t>
      </w:r>
      <w:r>
        <w:rPr>
          <w:rFonts w:hint="eastAsia"/>
          <w:color w:val="000000" w:themeColor="text1"/>
          <w:sz w:val="28"/>
          <w:szCs w:val="28"/>
          <w:lang w:val="zh-CN"/>
          <w14:textFill>
            <w14:solidFill>
              <w14:schemeClr w14:val="tx1"/>
            </w14:solidFill>
          </w14:textFill>
        </w:rPr>
        <w:t>进一步完善“巾帼扶贫车间”管理体制机制，提升监管质量和水平，特别是在奖补资金的规范使用上进行一次“回头看”，查漏补缺，推动“巾帼扶贫车间”管理向规范化、科学化、市场化、以盈利为目的发展；</w:t>
      </w:r>
    </w:p>
    <w:p>
      <w:pPr>
        <w:pStyle w:val="7"/>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 促进政府市场协同,使扶贫车间成为乡村主导产业的“增值地”,</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政府主导、企业带动、妇联推动、妇女参与并完善巾帼扶贫车间机制，同时，按照“五有”标准，实现车间规范化持续运营发展，为更多脱贫妇女搭建就业平台，实现脱贫妇女“足不出户、就地致富”的目标；协调税务、财政、金融、商业、农业、科技等部门建立扶持开发的组织机构，落实相关部门责任，在政策、资金和技术等方面给予帮助和指导；</w:t>
      </w:r>
    </w:p>
    <w:p>
      <w:pPr>
        <w:pStyle w:val="11"/>
        <w:widowControl/>
        <w:spacing w:before="0" w:beforeAutospacing="0" w:after="0" w:afterAutospacing="0" w:line="560" w:lineRule="exact"/>
        <w:ind w:firstLine="560" w:firstLineChars="200"/>
        <w:jc w:val="both"/>
        <w:rPr>
          <w:rFonts w:hint="eastAsia" w:eastAsia="宋体"/>
          <w:color w:val="000000" w:themeColor="text1"/>
          <w:kern w:val="2"/>
          <w:sz w:val="28"/>
          <w:szCs w:val="28"/>
          <w:lang w:eastAsia="zh-CN"/>
          <w14:textFill>
            <w14:solidFill>
              <w14:schemeClr w14:val="tx1"/>
            </w14:solidFill>
          </w14:textFill>
        </w:rPr>
      </w:pPr>
      <w:r>
        <w:rPr>
          <w:rFonts w:hint="eastAsia"/>
          <w:color w:val="000000" w:themeColor="text1"/>
          <w:kern w:val="2"/>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 注重政府作用</w:t>
      </w:r>
      <w:r>
        <w:rPr>
          <w:rFonts w:hint="eastAsia"/>
          <w:color w:val="000000" w:themeColor="text1"/>
          <w:kern w:val="2"/>
          <w:sz w:val="28"/>
          <w:szCs w:val="28"/>
          <w14:textFill>
            <w14:solidFill>
              <w14:schemeClr w14:val="tx1"/>
            </w14:solidFill>
          </w14:textFill>
        </w:rPr>
        <w:t>发挥,</w:t>
      </w:r>
      <w:r>
        <w:rPr>
          <w:color w:val="000000" w:themeColor="text1"/>
          <w:kern w:val="2"/>
          <w:sz w:val="28"/>
          <w:szCs w:val="28"/>
          <w14:textFill>
            <w14:solidFill>
              <w14:schemeClr w14:val="tx1"/>
            </w14:solidFill>
          </w14:textFill>
        </w:rPr>
        <w:t xml:space="preserve"> </w:t>
      </w:r>
      <w:r>
        <w:rPr>
          <w:rFonts w:hint="eastAsia"/>
          <w:color w:val="000000" w:themeColor="text1"/>
          <w:kern w:val="2"/>
          <w:sz w:val="28"/>
          <w:szCs w:val="28"/>
          <w14:textFill>
            <w14:solidFill>
              <w14:schemeClr w14:val="tx1"/>
            </w14:solidFill>
          </w14:textFill>
        </w:rPr>
        <w:t>妇联组织的桥梁纽带作用，坚持将村妇联主席、执委培养成巾帼扶贫车间负责人、带头人，引领妇女转变思想观念，积极参加培训，同时，带动更多</w:t>
      </w:r>
      <w:r>
        <w:rPr>
          <w:rFonts w:hint="eastAsia"/>
          <w:color w:val="000000" w:themeColor="text1"/>
          <w:sz w:val="28"/>
          <w:szCs w:val="28"/>
          <w14:textFill>
            <w14:solidFill>
              <w14:schemeClr w14:val="tx1"/>
            </w14:solidFill>
          </w14:textFill>
        </w:rPr>
        <w:t>脱贫</w:t>
      </w:r>
      <w:r>
        <w:rPr>
          <w:rFonts w:hint="eastAsia"/>
          <w:color w:val="000000" w:themeColor="text1"/>
          <w:kern w:val="2"/>
          <w:sz w:val="28"/>
          <w:szCs w:val="28"/>
          <w14:textFill>
            <w14:solidFill>
              <w14:schemeClr w14:val="tx1"/>
            </w14:solidFill>
          </w14:textFill>
        </w:rPr>
        <w:t>妇女在家门口实现就业增收，让“小车间”发挥“大作用”；充分整合人社、扶贫、农业农村、商务等部门各类项目资源，切实加强对巾帼扶贫车间的资金扶持力度，同时，利用各种平台，宣传巾帼扶贫车间发展状况、用工需求，加大产品推介力度，推动巾帼扶贫车间稳步发展</w:t>
      </w:r>
      <w:r>
        <w:rPr>
          <w:rFonts w:hint="eastAsia"/>
          <w:color w:val="000000" w:themeColor="text1"/>
          <w:kern w:val="2"/>
          <w:sz w:val="28"/>
          <w:szCs w:val="28"/>
          <w:lang w:eastAsia="zh-CN"/>
          <w14:textFill>
            <w14:solidFill>
              <w14:schemeClr w14:val="tx1"/>
            </w14:solidFill>
          </w14:textFill>
        </w:rPr>
        <w:t>；</w:t>
      </w:r>
    </w:p>
    <w:p>
      <w:pPr>
        <w:spacing w:line="560" w:lineRule="exact"/>
        <w:ind w:firstLine="560" w:firstLineChars="200"/>
        <w:rPr>
          <w:color w:val="000000" w:themeColor="text1"/>
          <w:sz w:val="28"/>
          <w:szCs w:val="28"/>
          <w:lang w:val="zh-CN"/>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、加强指导</w:t>
      </w:r>
      <w:r>
        <w:rPr>
          <w:rFonts w:hint="eastAsia"/>
          <w:color w:val="000000" w:themeColor="text1"/>
          <w:sz w:val="28"/>
          <w:szCs w:val="28"/>
          <w:lang w:val="zh-CN"/>
          <w14:textFill>
            <w14:solidFill>
              <w14:schemeClr w14:val="tx1"/>
            </w14:solidFill>
          </w14:textFill>
        </w:rPr>
        <w:t>各县区对“巾帼扶贫车间”日常监管、落实责任，加强骨干技能提升培训以及外出考察对接订单，个别地区可以依托旅游资源，形成旅游、商贸流通和手工制品加工一体的产业链条，积极拓展市场，形成长期稳固的供销关系，积极搭建商品交易平台，广泛举办展销会或新产品推介会，为发展巾帼产业牵线搭桥，实现市场对接。加强网络直播扶持力度，形成产、供、销一体化经营模式。加大妇女培训力度，进一步开展妇女培训活动，提高妇女岗位技能。重点培养女性专业人才和巾帼创业创新带头人，通过妇女创业典型的示范和引领，带动更多妇女就近就业，增加收入；</w:t>
      </w:r>
    </w:p>
    <w:p>
      <w:pPr>
        <w:pStyle w:val="11"/>
        <w:widowControl/>
        <w:spacing w:before="0" w:beforeAutospacing="0" w:after="0" w:afterAutospacing="0" w:line="560" w:lineRule="exact"/>
        <w:ind w:firstLine="560" w:firstLineChars="200"/>
        <w:jc w:val="both"/>
        <w:rPr>
          <w:color w:val="000000" w:themeColor="text1"/>
          <w:sz w:val="28"/>
          <w:szCs w:val="28"/>
          <w:lang w:val="zh-CN"/>
          <w14:textFill>
            <w14:solidFill>
              <w14:schemeClr w14:val="tx1"/>
            </w14:solidFill>
          </w14:textFill>
        </w:rPr>
      </w:pP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zh-CN"/>
          <w14:textFill>
            <w14:solidFill>
              <w14:schemeClr w14:val="tx1"/>
            </w14:solidFill>
          </w14:textFill>
        </w:rPr>
        <w:t>加大舆论宣传力度，把主要的乡村振兴政策编印成册，同步使用妇联微信公众平台及移动专属手机短信、社会各主流媒体、新媒体和村中黑板报、宣传栏、妇女之家等平台，广泛宣传“巾帼扶贫车间”的意义，引导</w:t>
      </w:r>
      <w:r>
        <w:rPr>
          <w:rFonts w:hint="eastAsia"/>
          <w:color w:val="000000" w:themeColor="text1"/>
          <w:sz w:val="28"/>
          <w:szCs w:val="28"/>
          <w14:textFill>
            <w14:solidFill>
              <w14:schemeClr w14:val="tx1"/>
            </w14:solidFill>
          </w14:textFill>
        </w:rPr>
        <w:t>脱贫</w:t>
      </w:r>
      <w:r>
        <w:rPr>
          <w:rFonts w:hint="eastAsia"/>
          <w:color w:val="000000" w:themeColor="text1"/>
          <w:sz w:val="28"/>
          <w:szCs w:val="28"/>
          <w:lang w:val="zh-CN"/>
          <w14:textFill>
            <w14:solidFill>
              <w14:schemeClr w14:val="tx1"/>
            </w14:solidFill>
          </w14:textFill>
        </w:rPr>
        <w:t>妇女知晓、理解、掌握政策，引导企业积极参与“巾帼扶贫车间”建设，通过各种产业政策结合企业实际情况给予专项资金支持撬动企业积极参与“巾帼扶贫车间”建设，进而带动</w:t>
      </w:r>
      <w:r>
        <w:rPr>
          <w:rFonts w:hint="eastAsia"/>
          <w:color w:val="000000" w:themeColor="text1"/>
          <w:sz w:val="28"/>
          <w:szCs w:val="28"/>
          <w14:textFill>
            <w14:solidFill>
              <w14:schemeClr w14:val="tx1"/>
            </w14:solidFill>
          </w14:textFill>
        </w:rPr>
        <w:t>脱贫</w:t>
      </w:r>
      <w:r>
        <w:rPr>
          <w:rFonts w:hint="eastAsia"/>
          <w:color w:val="000000" w:themeColor="text1"/>
          <w:sz w:val="28"/>
          <w:szCs w:val="28"/>
          <w:lang w:val="zh-CN"/>
          <w14:textFill>
            <w14:solidFill>
              <w14:schemeClr w14:val="tx1"/>
            </w14:solidFill>
          </w14:textFill>
        </w:rPr>
        <w:t>妇女到“巾帼扶贫车间”就近就业，帮助</w:t>
      </w:r>
      <w:r>
        <w:rPr>
          <w:rFonts w:hint="eastAsia"/>
          <w:color w:val="000000" w:themeColor="text1"/>
          <w:sz w:val="28"/>
          <w:szCs w:val="28"/>
          <w14:textFill>
            <w14:solidFill>
              <w14:schemeClr w14:val="tx1"/>
            </w14:solidFill>
          </w14:textFill>
        </w:rPr>
        <w:t>脱贫</w:t>
      </w:r>
      <w:r>
        <w:rPr>
          <w:rFonts w:hint="eastAsia"/>
          <w:color w:val="000000" w:themeColor="text1"/>
          <w:sz w:val="28"/>
          <w:szCs w:val="28"/>
          <w:lang w:val="zh-CN"/>
          <w14:textFill>
            <w14:solidFill>
              <w14:schemeClr w14:val="tx1"/>
            </w14:solidFill>
          </w14:textFill>
        </w:rPr>
        <w:t>妇女增收致富；</w:t>
      </w:r>
    </w:p>
    <w:p>
      <w:pPr>
        <w:widowControl/>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创新工作机制载体，依托网络平台拓展致富渠道，组织发动各级妇女干部、女能人、女带头人、女热心人积极开展我为“产品”做代言行动，利用快手、抖音、微信公众号等新媒体平台，通过“妇女代言+互联网直销”模式，大力宣传“巾帼扶贫车间”特色产品，加大特色产品的知名度和销售力度；组织开展电子商务、家政服务、技能培训等形式多样的、适合本地脱贫妇女特点的技能培训。发动“巾帼扶贫车间”女企业家、女带头人应用电子商务平台，积极开办网店，探索建立“企业+电商+妇女”运作模式，通过“线下购买、线上下单、网订店取”等多种方式相结合的销售模式，使企业创收增效；对车间管理运行情况进行督查指导，继续向上争取项目资金，催生企业内动力，不断扩大生产规模，吸纳更多脱贫妇女进车间、进企业，共同助力全省经济发展。</w:t>
      </w:r>
    </w:p>
    <w:p>
      <w:pPr>
        <w:widowControl/>
        <w:spacing w:line="360" w:lineRule="auto"/>
        <w:ind w:firstLine="562" w:firstLineChars="200"/>
        <w:outlineLvl w:val="0"/>
        <w:rPr>
          <w:rFonts w:ascii="宋体" w:hAnsi="宋体"/>
          <w:b/>
          <w:bCs/>
          <w:color w:val="000000" w:themeColor="text1"/>
          <w:sz w:val="28"/>
          <w:szCs w:val="28"/>
          <w14:textFill>
            <w14:solidFill>
              <w14:schemeClr w14:val="tx1"/>
            </w14:solidFill>
          </w14:textFill>
        </w:rPr>
      </w:pPr>
      <w:bookmarkStart w:id="113" w:name="_Toc29370"/>
      <w:r>
        <w:rPr>
          <w:rFonts w:hint="eastAsia"/>
          <w:b/>
          <w:bCs/>
          <w:color w:val="000000" w:themeColor="text1"/>
          <w:sz w:val="28"/>
          <w:szCs w:val="28"/>
          <w14:textFill>
            <w14:solidFill>
              <w14:schemeClr w14:val="tx1"/>
            </w14:solidFill>
          </w14:textFill>
        </w:rPr>
        <w:t>五、</w:t>
      </w:r>
      <w:r>
        <w:rPr>
          <w:rFonts w:hint="eastAsia" w:ascii="宋体" w:hAnsi="宋体"/>
          <w:b/>
          <w:bCs/>
          <w:color w:val="000000" w:themeColor="text1"/>
          <w:sz w:val="28"/>
          <w:szCs w:val="28"/>
          <w14:textFill>
            <w14:solidFill>
              <w14:schemeClr w14:val="tx1"/>
            </w14:solidFill>
          </w14:textFill>
        </w:rPr>
        <w:t>其他需说明的问题</w:t>
      </w:r>
      <w:bookmarkEnd w:id="113"/>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本项目2021年度巾帼扶贫车间项目绩效评价是在独立、客观、公正的原则下做出的，本单位参加评价工作的全体人员与被评价各方之间无任何特殊利害关系，评价人员在评价过程中恪守职业道德和规范，并进行了充分的努力，及时完整的报送绩效评价报告，截止绩效评价报告日2022年05月19日，评价结果与委托方无异议；</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委托方对所提供的委托评价资料的真实性、合法性和完整性承担责任，注册会计师的责任是对被评价对象进行评价并发表专业意见。本绩效评价报告是在所提供的真实、合法的资料基础上出具的，对因存在舞弊或报告使用不当造成的一切后果，本单位和注册会计师不承担责任；</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3、本绩效评价报告仅供委托方及主管部门使用，任意复印无效。</w:t>
      </w:r>
    </w:p>
    <w:p>
      <w:pPr>
        <w:pStyle w:val="5"/>
        <w:spacing w:line="360" w:lineRule="auto"/>
        <w:ind w:firstLine="560" w:firstLineChars="200"/>
        <w:rPr>
          <w:b w:val="0"/>
          <w:bCs/>
          <w:color w:val="000000" w:themeColor="text1"/>
          <w:sz w:val="28"/>
          <w:szCs w:val="28"/>
          <w14:textFill>
            <w14:solidFill>
              <w14:schemeClr w14:val="tx1"/>
            </w14:solidFill>
          </w14:textFill>
        </w:rPr>
      </w:pPr>
      <w:bookmarkStart w:id="114" w:name="_Toc18324"/>
      <w:bookmarkStart w:id="115" w:name="_Toc7260_WPSOffice_Level1"/>
      <w:bookmarkStart w:id="116" w:name="_Toc14852_WPSOffice_Level1"/>
      <w:bookmarkStart w:id="117" w:name="_Toc7561_WPSOffice_Level1"/>
      <w:bookmarkStart w:id="118" w:name="_Toc20503_WPSOffice_Level1"/>
      <w:r>
        <w:rPr>
          <w:rFonts w:hint="eastAsia"/>
          <w:b w:val="0"/>
          <w:bCs/>
          <w:color w:val="000000" w:themeColor="text1"/>
          <w:sz w:val="28"/>
          <w:szCs w:val="28"/>
          <w14:textFill>
            <w14:solidFill>
              <w14:schemeClr w14:val="tx1"/>
            </w14:solidFill>
          </w14:textFill>
        </w:rPr>
        <w:t>附件: 绩效评价指标体系</w:t>
      </w:r>
      <w:bookmarkEnd w:id="114"/>
      <w:bookmarkEnd w:id="115"/>
      <w:bookmarkEnd w:id="116"/>
      <w:bookmarkEnd w:id="117"/>
      <w:bookmarkEnd w:id="118"/>
    </w:p>
    <w:p>
      <w:pPr>
        <w:tabs>
          <w:tab w:val="left" w:pos="8520"/>
        </w:tabs>
        <w:snapToGrid w:val="0"/>
        <w:spacing w:line="360" w:lineRule="auto"/>
        <w:ind w:firstLine="280" w:firstLineChars="100"/>
        <w:rPr>
          <w:rFonts w:ascii="宋体" w:hAnsi="宋体"/>
          <w:color w:val="000000" w:themeColor="text1"/>
          <w:sz w:val="28"/>
          <w:szCs w:val="28"/>
          <w14:textFill>
            <w14:solidFill>
              <w14:schemeClr w14:val="tx1"/>
            </w14:solidFill>
          </w14:textFill>
        </w:rPr>
      </w:pPr>
    </w:p>
    <w:p>
      <w:pPr>
        <w:tabs>
          <w:tab w:val="left" w:pos="8520"/>
        </w:tabs>
        <w:snapToGrid w:val="0"/>
        <w:spacing w:line="360" w:lineRule="auto"/>
        <w:ind w:firstLine="280" w:firstLineChars="100"/>
        <w:rPr>
          <w:rFonts w:ascii="宋体" w:hAnsi="宋体"/>
          <w:color w:val="000000" w:themeColor="text1"/>
          <w:sz w:val="28"/>
          <w:szCs w:val="28"/>
          <w14:textFill>
            <w14:solidFill>
              <w14:schemeClr w14:val="tx1"/>
            </w14:solidFill>
          </w14:textFill>
        </w:rPr>
      </w:pPr>
    </w:p>
    <w:p>
      <w:pPr>
        <w:tabs>
          <w:tab w:val="left" w:pos="8520"/>
        </w:tabs>
        <w:snapToGrid w:val="0"/>
        <w:spacing w:line="360" w:lineRule="auto"/>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甘肃中强会计师事务有限公司              中国注册会计师：</w:t>
      </w:r>
    </w:p>
    <w:p>
      <w:pPr>
        <w:tabs>
          <w:tab w:val="left" w:pos="840"/>
          <w:tab w:val="left" w:pos="1260"/>
          <w:tab w:val="left" w:pos="7125"/>
        </w:tabs>
        <w:spacing w:line="600" w:lineRule="auto"/>
        <w:ind w:firstLine="560" w:firstLineChars="200"/>
        <w:rPr>
          <w:rFonts w:ascii="宋体" w:hAnsi="宋体"/>
          <w:color w:val="000000" w:themeColor="text1"/>
          <w:sz w:val="28"/>
          <w:szCs w:val="28"/>
          <w14:textFill>
            <w14:solidFill>
              <w14:schemeClr w14:val="tx1"/>
            </w14:solidFill>
          </w14:textFill>
        </w:rPr>
      </w:pPr>
    </w:p>
    <w:p>
      <w:pPr>
        <w:tabs>
          <w:tab w:val="left" w:pos="840"/>
          <w:tab w:val="left" w:pos="1260"/>
          <w:tab w:val="left" w:pos="7125"/>
        </w:tabs>
        <w:spacing w:line="600" w:lineRule="auto"/>
        <w:ind w:firstLine="840" w:firstLineChars="3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中国     *     甘肃                 中国注册会计师： </w:t>
      </w:r>
    </w:p>
    <w:p>
      <w:pPr>
        <w:tabs>
          <w:tab w:val="left" w:pos="840"/>
          <w:tab w:val="left" w:pos="1260"/>
          <w:tab w:val="left" w:pos="7125"/>
        </w:tabs>
        <w:spacing w:line="600" w:lineRule="auto"/>
        <w:rPr>
          <w:rFonts w:ascii="宋体" w:hAnsi="宋体"/>
          <w:color w:val="000000" w:themeColor="text1"/>
          <w:sz w:val="28"/>
          <w:szCs w:val="28"/>
          <w14:textFill>
            <w14:solidFill>
              <w14:schemeClr w14:val="tx1"/>
            </w14:solidFill>
          </w14:textFill>
        </w:rPr>
      </w:pPr>
    </w:p>
    <w:p>
      <w:pPr>
        <w:tabs>
          <w:tab w:val="left" w:pos="840"/>
          <w:tab w:val="left" w:pos="1260"/>
          <w:tab w:val="left" w:pos="7125"/>
        </w:tabs>
        <w:spacing w:line="60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二〇二二年五月十九日</w:t>
      </w:r>
    </w:p>
    <w:sectPr>
      <w:footerReference r:id="rId5" w:type="default"/>
      <w:pgSz w:w="12240" w:h="15840"/>
      <w:pgMar w:top="1474" w:right="1973" w:bottom="1701" w:left="1973" w:header="96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Heiti SC Light">
    <w:altName w:val="宋体"/>
    <w:panose1 w:val="02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ESI仿宋-GB13000">
    <w:altName w:val="仿宋_GB2312"/>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5408" behindDoc="0" locked="0" layoutInCell="1" allowOverlap="1">
              <wp:simplePos x="0" y="0"/>
              <wp:positionH relativeFrom="margin">
                <wp:posOffset>4660900</wp:posOffset>
              </wp:positionH>
              <wp:positionV relativeFrom="paragraph">
                <wp:posOffset>146050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7pt;margin-top:11.5pt;height:144pt;width:144pt;mso-position-horizontal-relative:margin;mso-wrap-style:none;z-index:251665408;mso-width-relative:page;mso-height-relative:page;" filled="f" stroked="f" coordsize="21600,21600" o:gfxdata="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X8p1NgAAAALAQAADwAAAAAAAAAB&#10;ACAAAAAiAAAAZHJzL2Rvd25yZXYueG1sUEsBAhQAFAAAAAgAh07iQGGVYV4QAgAABwQAAA4AAAAA&#10;AAAAAQAgAAAAJwEAAGRycy9lMm9Eb2MueG1sUEsFBgAAAAAGAAYAWQEAAKk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rPr>
      <w:t xml:space="preserve">本报告防伪编码为“09312022080018216583”                业务联系电话：13893335118  0931-8487911     </w:t>
    </w:r>
  </w:p>
  <w:p>
    <w:pPr>
      <w:pStyle w:val="9"/>
    </w:pPr>
    <w:r>
      <w:rPr>
        <w:rFonts w:hint="eastAsia"/>
      </w:rPr>
      <w:t xml:space="preserve">欢迎登录甘肃省注册会计师协会网站http://www.gsicpa.net查询                              </w:t>
    </w:r>
  </w:p>
  <w:p>
    <w:pPr>
      <w:pStyle w:val="9"/>
    </w:pPr>
    <w:r>
      <mc:AlternateContent>
        <mc:Choice Requires="wps">
          <w:drawing>
            <wp:anchor distT="0" distB="0" distL="114300" distR="114300" simplePos="0" relativeHeight="251661312" behindDoc="0" locked="0" layoutInCell="1" allowOverlap="1">
              <wp:simplePos x="0" y="0"/>
              <wp:positionH relativeFrom="column">
                <wp:posOffset>2184400</wp:posOffset>
              </wp:positionH>
              <wp:positionV relativeFrom="paragraph">
                <wp:posOffset>-153035</wp:posOffset>
              </wp:positionV>
              <wp:extent cx="1117600" cy="303530"/>
              <wp:effectExtent l="0" t="0" r="0" b="0"/>
              <wp:wrapNone/>
              <wp:docPr id="9" name="矩形 2"/>
              <wp:cNvGraphicFramePr/>
              <a:graphic xmlns:a="http://schemas.openxmlformats.org/drawingml/2006/main">
                <a:graphicData uri="http://schemas.microsoft.com/office/word/2010/wordprocessingShape">
                  <wps:wsp>
                    <wps:cNvSpPr/>
                    <wps:spPr>
                      <a:xfrm>
                        <a:off x="3327400" y="9144000"/>
                        <a:ext cx="1117600" cy="30353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72pt;margin-top:-12.05pt;height:23.9pt;width:88pt;z-index:251661312;v-text-anchor:middle;mso-width-relative:page;mso-height-relative:page;" fillcolor="#FFFFFF [3212]" filled="t" stroked="f" coordsize="21600,21600" o:gfxdata="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naNAv2QAA&#10;AAoBAAAPAAAAAAAAAAEAIAAAACIAAABkcnMvZG93bnJldi54bWxQSwECFAAUAAAACACHTuJAB8LG&#10;r1YCAACPBAAADgAAAAAAAAABACAAAAAoAQAAZHJzL2Uyb0RvYy54bWxQSwUGAAAAAAYABgBZAQAA&#10;8AUAAAAA&#10;">
              <v:fill on="t" opacity="0f" focussize="0,0"/>
              <v:stroke on="f" weight="2pt"/>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9"/>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53149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8.65pt;margin-top:706.95pt;height:0pt;width:418.5pt;mso-position-horizontal-relative:page;mso-position-vertical-relative:page;z-index:251660288;mso-width-relative:margin;mso-height-relative:page;mso-width-percent:1000;" filled="f" stroked="t" coordsize="21600,21600" o:gfxdata="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PRMQTQAAAAAgEAAA8AAAAAAAAAAQAgAAAAIgAAAGRycy9kb3ducmV2LnhtbFBLAQIUABQAAAAI&#10;AIdO4kBFUr7wvAEAAEwDAAAOAAAAAAAAAAEAIAAAAB8BAABkcnMvZTJvRG9jLnhtbFBLBQYAAAAA&#10;BgAGAFkBAABNBQAAAAA=&#10;">
              <v:fill on="f" focussize="0,0"/>
              <v:stroke color="#000000 [3213]"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Bdr>
        <w:bottom w:val="single" w:color="auto" w:sz="4" w:space="1"/>
      </w:pBdr>
      <w:ind w:firstLine="3780" w:firstLineChars="2100"/>
    </w:pPr>
    <w:r>
      <w:rPr>
        <w:rFonts w:hint="eastAsia"/>
      </w:rPr>
      <w:t>绩 效 评 价 报 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FDA6"/>
    <w:multiLevelType w:val="singleLevel"/>
    <w:tmpl w:val="82BDFDA6"/>
    <w:lvl w:ilvl="0" w:tentative="0">
      <w:start w:val="3"/>
      <w:numFmt w:val="decimal"/>
      <w:suff w:val="nothing"/>
      <w:lvlText w:val="%1、"/>
      <w:lvlJc w:val="left"/>
    </w:lvl>
  </w:abstractNum>
  <w:abstractNum w:abstractNumId="1">
    <w:nsid w:val="BB67369C"/>
    <w:multiLevelType w:val="singleLevel"/>
    <w:tmpl w:val="BB67369C"/>
    <w:lvl w:ilvl="0" w:tentative="0">
      <w:start w:val="1"/>
      <w:numFmt w:val="decimal"/>
      <w:suff w:val="nothing"/>
      <w:lvlText w:val="%1、"/>
      <w:lvlJc w:val="left"/>
    </w:lvl>
  </w:abstractNum>
  <w:abstractNum w:abstractNumId="2">
    <w:nsid w:val="E82586D2"/>
    <w:multiLevelType w:val="singleLevel"/>
    <w:tmpl w:val="E82586D2"/>
    <w:lvl w:ilvl="0" w:tentative="0">
      <w:start w:val="2"/>
      <w:numFmt w:val="chineseCounting"/>
      <w:suff w:val="nothing"/>
      <w:lvlText w:val="（%1）"/>
      <w:lvlJc w:val="left"/>
      <w:rPr>
        <w:rFonts w:hint="eastAsia"/>
      </w:rPr>
    </w:lvl>
  </w:abstractNum>
  <w:abstractNum w:abstractNumId="3">
    <w:nsid w:val="06DF2EBE"/>
    <w:multiLevelType w:val="singleLevel"/>
    <w:tmpl w:val="06DF2EBE"/>
    <w:lvl w:ilvl="0" w:tentative="0">
      <w:start w:val="6"/>
      <w:numFmt w:val="chineseCounting"/>
      <w:suff w:val="nothing"/>
      <w:lvlText w:val="（%1）"/>
      <w:lvlJc w:val="left"/>
      <w:rPr>
        <w:rFonts w:hint="eastAsia"/>
      </w:rPr>
    </w:lvl>
  </w:abstractNum>
  <w:abstractNum w:abstractNumId="4">
    <w:nsid w:val="2B8C606C"/>
    <w:multiLevelType w:val="singleLevel"/>
    <w:tmpl w:val="2B8C606C"/>
    <w:lvl w:ilvl="0" w:tentative="0">
      <w:start w:val="2"/>
      <w:numFmt w:val="decimal"/>
      <w:suff w:val="nothing"/>
      <w:lvlText w:val="%1、"/>
      <w:lvlJc w:val="left"/>
    </w:lvl>
  </w:abstractNum>
  <w:abstractNum w:abstractNumId="5">
    <w:nsid w:val="4880F7A2"/>
    <w:multiLevelType w:val="singleLevel"/>
    <w:tmpl w:val="4880F7A2"/>
    <w:lvl w:ilvl="0" w:tentative="0">
      <w:start w:val="1"/>
      <w:numFmt w:val="chineseCounting"/>
      <w:suff w:val="nothing"/>
      <w:lvlText w:val="%1、"/>
      <w:lvlJc w:val="left"/>
      <w:rPr>
        <w:rFonts w:hint="eastAsia"/>
      </w:rPr>
    </w:lvl>
  </w:abstractNum>
  <w:abstractNum w:abstractNumId="6">
    <w:nsid w:val="59101D7D"/>
    <w:multiLevelType w:val="singleLevel"/>
    <w:tmpl w:val="59101D7D"/>
    <w:lvl w:ilvl="0" w:tentative="0">
      <w:start w:val="1"/>
      <w:numFmt w:val="chineseCounting"/>
      <w:suff w:val="nothing"/>
      <w:lvlText w:val="（%1）"/>
      <w:lvlJc w:val="left"/>
    </w:lvl>
  </w:abstractNum>
  <w:abstractNum w:abstractNumId="7">
    <w:nsid w:val="6CC7ADB6"/>
    <w:multiLevelType w:val="singleLevel"/>
    <w:tmpl w:val="6CC7ADB6"/>
    <w:lvl w:ilvl="0" w:tentative="0">
      <w:start w:val="6"/>
      <w:numFmt w:val="decimal"/>
      <w:suff w:val="nothing"/>
      <w:lvlText w:val="（%1）"/>
      <w:lvlJc w:val="left"/>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25D33"/>
    <w:rsid w:val="0003474C"/>
    <w:rsid w:val="00067D02"/>
    <w:rsid w:val="00093C75"/>
    <w:rsid w:val="000D2643"/>
    <w:rsid w:val="000E38B0"/>
    <w:rsid w:val="00125223"/>
    <w:rsid w:val="00130996"/>
    <w:rsid w:val="00172A27"/>
    <w:rsid w:val="002253FD"/>
    <w:rsid w:val="00251187"/>
    <w:rsid w:val="00252AEA"/>
    <w:rsid w:val="00263D7D"/>
    <w:rsid w:val="002B1A99"/>
    <w:rsid w:val="002C0390"/>
    <w:rsid w:val="002C45FD"/>
    <w:rsid w:val="002E767F"/>
    <w:rsid w:val="002F156A"/>
    <w:rsid w:val="003037CF"/>
    <w:rsid w:val="003456C1"/>
    <w:rsid w:val="00370864"/>
    <w:rsid w:val="003F3089"/>
    <w:rsid w:val="00405FAA"/>
    <w:rsid w:val="0056113C"/>
    <w:rsid w:val="0056476C"/>
    <w:rsid w:val="00585ED4"/>
    <w:rsid w:val="005C6305"/>
    <w:rsid w:val="005F4399"/>
    <w:rsid w:val="00613C9E"/>
    <w:rsid w:val="00622248"/>
    <w:rsid w:val="0063774B"/>
    <w:rsid w:val="00671BCB"/>
    <w:rsid w:val="00713EB8"/>
    <w:rsid w:val="00795C18"/>
    <w:rsid w:val="007C2942"/>
    <w:rsid w:val="007C6721"/>
    <w:rsid w:val="008366D5"/>
    <w:rsid w:val="008564BA"/>
    <w:rsid w:val="008D7810"/>
    <w:rsid w:val="00914D27"/>
    <w:rsid w:val="009972D8"/>
    <w:rsid w:val="009A1EA4"/>
    <w:rsid w:val="009E5926"/>
    <w:rsid w:val="00A00EBB"/>
    <w:rsid w:val="00A13ACD"/>
    <w:rsid w:val="00A42636"/>
    <w:rsid w:val="00AE0025"/>
    <w:rsid w:val="00B92D30"/>
    <w:rsid w:val="00BF3590"/>
    <w:rsid w:val="00C04C32"/>
    <w:rsid w:val="00C450DF"/>
    <w:rsid w:val="00CE379A"/>
    <w:rsid w:val="00CE5B44"/>
    <w:rsid w:val="00CF0392"/>
    <w:rsid w:val="00D12F32"/>
    <w:rsid w:val="00D45E2D"/>
    <w:rsid w:val="00DD0D62"/>
    <w:rsid w:val="00E05E94"/>
    <w:rsid w:val="00E33D96"/>
    <w:rsid w:val="00E52C9A"/>
    <w:rsid w:val="00E60176"/>
    <w:rsid w:val="00F034B8"/>
    <w:rsid w:val="00F21316"/>
    <w:rsid w:val="00F235B7"/>
    <w:rsid w:val="00F643C4"/>
    <w:rsid w:val="00FF0C90"/>
    <w:rsid w:val="010F73FF"/>
    <w:rsid w:val="01126541"/>
    <w:rsid w:val="01334985"/>
    <w:rsid w:val="014F1C53"/>
    <w:rsid w:val="014F207F"/>
    <w:rsid w:val="01580B4C"/>
    <w:rsid w:val="015B5F4B"/>
    <w:rsid w:val="015E38B1"/>
    <w:rsid w:val="017056B7"/>
    <w:rsid w:val="01890E15"/>
    <w:rsid w:val="01953486"/>
    <w:rsid w:val="01970FC5"/>
    <w:rsid w:val="01993E0E"/>
    <w:rsid w:val="019A556D"/>
    <w:rsid w:val="019D2D69"/>
    <w:rsid w:val="01A85655"/>
    <w:rsid w:val="01AA2762"/>
    <w:rsid w:val="01AF033C"/>
    <w:rsid w:val="01B113E0"/>
    <w:rsid w:val="01C25323"/>
    <w:rsid w:val="01C91B52"/>
    <w:rsid w:val="01CA5195"/>
    <w:rsid w:val="01CC741E"/>
    <w:rsid w:val="01DB4FDD"/>
    <w:rsid w:val="01E10ED5"/>
    <w:rsid w:val="01E9592D"/>
    <w:rsid w:val="01EC6EB9"/>
    <w:rsid w:val="01ED5132"/>
    <w:rsid w:val="020155B8"/>
    <w:rsid w:val="02041F38"/>
    <w:rsid w:val="022D6185"/>
    <w:rsid w:val="0232073B"/>
    <w:rsid w:val="023E57A9"/>
    <w:rsid w:val="02401D23"/>
    <w:rsid w:val="0242733A"/>
    <w:rsid w:val="02431F05"/>
    <w:rsid w:val="025556D9"/>
    <w:rsid w:val="02556FF8"/>
    <w:rsid w:val="0256439F"/>
    <w:rsid w:val="02570679"/>
    <w:rsid w:val="02667740"/>
    <w:rsid w:val="02680CF4"/>
    <w:rsid w:val="0271520E"/>
    <w:rsid w:val="027767FF"/>
    <w:rsid w:val="028B71CA"/>
    <w:rsid w:val="029611D3"/>
    <w:rsid w:val="02987B4B"/>
    <w:rsid w:val="02B1620D"/>
    <w:rsid w:val="02B171B4"/>
    <w:rsid w:val="02B22C16"/>
    <w:rsid w:val="02D766EE"/>
    <w:rsid w:val="02DE5EC9"/>
    <w:rsid w:val="02EE0F62"/>
    <w:rsid w:val="02FD774F"/>
    <w:rsid w:val="0317437B"/>
    <w:rsid w:val="032D34EE"/>
    <w:rsid w:val="032D7B15"/>
    <w:rsid w:val="032F5AEB"/>
    <w:rsid w:val="03300A2B"/>
    <w:rsid w:val="033124A2"/>
    <w:rsid w:val="033240E6"/>
    <w:rsid w:val="0335587F"/>
    <w:rsid w:val="03387E3A"/>
    <w:rsid w:val="035A54FF"/>
    <w:rsid w:val="036021B5"/>
    <w:rsid w:val="03647803"/>
    <w:rsid w:val="037F317F"/>
    <w:rsid w:val="038B6582"/>
    <w:rsid w:val="038C592B"/>
    <w:rsid w:val="03941436"/>
    <w:rsid w:val="039A3FF3"/>
    <w:rsid w:val="039E7B25"/>
    <w:rsid w:val="03AE01CD"/>
    <w:rsid w:val="03B170B0"/>
    <w:rsid w:val="03E16D2F"/>
    <w:rsid w:val="03FF6250"/>
    <w:rsid w:val="040858CA"/>
    <w:rsid w:val="040A31B2"/>
    <w:rsid w:val="04213893"/>
    <w:rsid w:val="04231C1A"/>
    <w:rsid w:val="0429686D"/>
    <w:rsid w:val="04346851"/>
    <w:rsid w:val="043A1A9A"/>
    <w:rsid w:val="043A6726"/>
    <w:rsid w:val="04476BB6"/>
    <w:rsid w:val="04484C19"/>
    <w:rsid w:val="04486077"/>
    <w:rsid w:val="044E62DC"/>
    <w:rsid w:val="0450725F"/>
    <w:rsid w:val="0465138E"/>
    <w:rsid w:val="047201D0"/>
    <w:rsid w:val="0474669B"/>
    <w:rsid w:val="047A1A04"/>
    <w:rsid w:val="04827E18"/>
    <w:rsid w:val="0484411B"/>
    <w:rsid w:val="048C1AE4"/>
    <w:rsid w:val="048E206B"/>
    <w:rsid w:val="049732E7"/>
    <w:rsid w:val="049E6A77"/>
    <w:rsid w:val="04AD08CC"/>
    <w:rsid w:val="04B615DD"/>
    <w:rsid w:val="04BD7136"/>
    <w:rsid w:val="04BF494C"/>
    <w:rsid w:val="04C2525D"/>
    <w:rsid w:val="04ED6EB5"/>
    <w:rsid w:val="04F82D5B"/>
    <w:rsid w:val="050E45BB"/>
    <w:rsid w:val="05164C1B"/>
    <w:rsid w:val="05545E79"/>
    <w:rsid w:val="057C161E"/>
    <w:rsid w:val="05872C1E"/>
    <w:rsid w:val="05983D0D"/>
    <w:rsid w:val="05C1233C"/>
    <w:rsid w:val="05C83AFB"/>
    <w:rsid w:val="05D9763E"/>
    <w:rsid w:val="05DF54E0"/>
    <w:rsid w:val="05E179DB"/>
    <w:rsid w:val="05FC7001"/>
    <w:rsid w:val="060853F4"/>
    <w:rsid w:val="06242FAA"/>
    <w:rsid w:val="06281CC8"/>
    <w:rsid w:val="062B48B2"/>
    <w:rsid w:val="063A580B"/>
    <w:rsid w:val="063E19EB"/>
    <w:rsid w:val="063F0FD2"/>
    <w:rsid w:val="064E721C"/>
    <w:rsid w:val="066574DD"/>
    <w:rsid w:val="06662659"/>
    <w:rsid w:val="066F1315"/>
    <w:rsid w:val="067A5A5F"/>
    <w:rsid w:val="06805A2C"/>
    <w:rsid w:val="068A1151"/>
    <w:rsid w:val="06A07A49"/>
    <w:rsid w:val="06CA0C1E"/>
    <w:rsid w:val="06CA15C5"/>
    <w:rsid w:val="06D16E5B"/>
    <w:rsid w:val="06D65BB0"/>
    <w:rsid w:val="06D92243"/>
    <w:rsid w:val="06DD41B6"/>
    <w:rsid w:val="06E111F9"/>
    <w:rsid w:val="06E273DA"/>
    <w:rsid w:val="06E35419"/>
    <w:rsid w:val="06EA37F3"/>
    <w:rsid w:val="06EB4DD2"/>
    <w:rsid w:val="06F94962"/>
    <w:rsid w:val="06F97205"/>
    <w:rsid w:val="0701290B"/>
    <w:rsid w:val="07130DA9"/>
    <w:rsid w:val="07180158"/>
    <w:rsid w:val="071B4A58"/>
    <w:rsid w:val="072724DF"/>
    <w:rsid w:val="072D19EF"/>
    <w:rsid w:val="07364E18"/>
    <w:rsid w:val="074F0553"/>
    <w:rsid w:val="075061FE"/>
    <w:rsid w:val="076F58D4"/>
    <w:rsid w:val="0774080A"/>
    <w:rsid w:val="07843D73"/>
    <w:rsid w:val="07AB03B6"/>
    <w:rsid w:val="07AD0E20"/>
    <w:rsid w:val="07C3462C"/>
    <w:rsid w:val="07C63814"/>
    <w:rsid w:val="07D50095"/>
    <w:rsid w:val="07E67A64"/>
    <w:rsid w:val="07ED10D6"/>
    <w:rsid w:val="07EF43A3"/>
    <w:rsid w:val="07FD14C1"/>
    <w:rsid w:val="080479E3"/>
    <w:rsid w:val="080907BD"/>
    <w:rsid w:val="080F5C2A"/>
    <w:rsid w:val="08257E2F"/>
    <w:rsid w:val="083408C0"/>
    <w:rsid w:val="084657AB"/>
    <w:rsid w:val="084E5827"/>
    <w:rsid w:val="086122AE"/>
    <w:rsid w:val="0861766D"/>
    <w:rsid w:val="08730932"/>
    <w:rsid w:val="08755FF3"/>
    <w:rsid w:val="087A6ABC"/>
    <w:rsid w:val="088C153D"/>
    <w:rsid w:val="088C20BF"/>
    <w:rsid w:val="08923E90"/>
    <w:rsid w:val="089D25B0"/>
    <w:rsid w:val="08A94922"/>
    <w:rsid w:val="08C66B6C"/>
    <w:rsid w:val="08CE2B32"/>
    <w:rsid w:val="08DF5847"/>
    <w:rsid w:val="08F26601"/>
    <w:rsid w:val="08FD2412"/>
    <w:rsid w:val="09031236"/>
    <w:rsid w:val="091B5D39"/>
    <w:rsid w:val="09274D3A"/>
    <w:rsid w:val="092D10D3"/>
    <w:rsid w:val="092D7F15"/>
    <w:rsid w:val="09400591"/>
    <w:rsid w:val="0987140B"/>
    <w:rsid w:val="098B78BE"/>
    <w:rsid w:val="09A47D93"/>
    <w:rsid w:val="09C75D56"/>
    <w:rsid w:val="09E1718C"/>
    <w:rsid w:val="09E844DE"/>
    <w:rsid w:val="09E85647"/>
    <w:rsid w:val="0A032A74"/>
    <w:rsid w:val="0A072590"/>
    <w:rsid w:val="0A164DF3"/>
    <w:rsid w:val="0A210C0D"/>
    <w:rsid w:val="0A3405B4"/>
    <w:rsid w:val="0A360DA9"/>
    <w:rsid w:val="0A481750"/>
    <w:rsid w:val="0A5F09CD"/>
    <w:rsid w:val="0A633B5D"/>
    <w:rsid w:val="0A6E6EFD"/>
    <w:rsid w:val="0A7E0634"/>
    <w:rsid w:val="0AA82AD4"/>
    <w:rsid w:val="0AAC503E"/>
    <w:rsid w:val="0AAC5E5C"/>
    <w:rsid w:val="0AB32CF7"/>
    <w:rsid w:val="0AC059D5"/>
    <w:rsid w:val="0ACC4AA5"/>
    <w:rsid w:val="0AD048C2"/>
    <w:rsid w:val="0AD65B46"/>
    <w:rsid w:val="0B000A38"/>
    <w:rsid w:val="0B027E47"/>
    <w:rsid w:val="0B0A4206"/>
    <w:rsid w:val="0B331B6D"/>
    <w:rsid w:val="0B5A52FC"/>
    <w:rsid w:val="0B5C0633"/>
    <w:rsid w:val="0B621B77"/>
    <w:rsid w:val="0B675F48"/>
    <w:rsid w:val="0B741D1F"/>
    <w:rsid w:val="0B784B33"/>
    <w:rsid w:val="0B790EBF"/>
    <w:rsid w:val="0B7F540A"/>
    <w:rsid w:val="0B835CC4"/>
    <w:rsid w:val="0B9C1D6F"/>
    <w:rsid w:val="0BB1239B"/>
    <w:rsid w:val="0BBF7019"/>
    <w:rsid w:val="0BE34687"/>
    <w:rsid w:val="0BE53255"/>
    <w:rsid w:val="0BF02A07"/>
    <w:rsid w:val="0BF97B98"/>
    <w:rsid w:val="0BFD5318"/>
    <w:rsid w:val="0C014A4B"/>
    <w:rsid w:val="0C283155"/>
    <w:rsid w:val="0C2A0B15"/>
    <w:rsid w:val="0C2D0084"/>
    <w:rsid w:val="0C3622EF"/>
    <w:rsid w:val="0C3733C2"/>
    <w:rsid w:val="0C3977EF"/>
    <w:rsid w:val="0C3D6110"/>
    <w:rsid w:val="0C447085"/>
    <w:rsid w:val="0C50246A"/>
    <w:rsid w:val="0C597609"/>
    <w:rsid w:val="0C5D087E"/>
    <w:rsid w:val="0C645B04"/>
    <w:rsid w:val="0C6471DC"/>
    <w:rsid w:val="0C771C88"/>
    <w:rsid w:val="0C794189"/>
    <w:rsid w:val="0C852B41"/>
    <w:rsid w:val="0C8842E9"/>
    <w:rsid w:val="0C8B402F"/>
    <w:rsid w:val="0C8B5077"/>
    <w:rsid w:val="0CA0304F"/>
    <w:rsid w:val="0CAA21C6"/>
    <w:rsid w:val="0CB3317D"/>
    <w:rsid w:val="0CC06EAA"/>
    <w:rsid w:val="0CC63496"/>
    <w:rsid w:val="0CCE583D"/>
    <w:rsid w:val="0CD252A1"/>
    <w:rsid w:val="0CF93351"/>
    <w:rsid w:val="0D052332"/>
    <w:rsid w:val="0D2F728A"/>
    <w:rsid w:val="0D405EA4"/>
    <w:rsid w:val="0D564E57"/>
    <w:rsid w:val="0D5A2357"/>
    <w:rsid w:val="0D912F8B"/>
    <w:rsid w:val="0DA878A5"/>
    <w:rsid w:val="0DBB0A1F"/>
    <w:rsid w:val="0DC53D85"/>
    <w:rsid w:val="0DD05B00"/>
    <w:rsid w:val="0DE6667A"/>
    <w:rsid w:val="0DEA1BCB"/>
    <w:rsid w:val="0DEE69A4"/>
    <w:rsid w:val="0E01193B"/>
    <w:rsid w:val="0E066597"/>
    <w:rsid w:val="0E14428F"/>
    <w:rsid w:val="0E2E5FC3"/>
    <w:rsid w:val="0E353C80"/>
    <w:rsid w:val="0E371DF4"/>
    <w:rsid w:val="0E3E4757"/>
    <w:rsid w:val="0E4D64E2"/>
    <w:rsid w:val="0E507401"/>
    <w:rsid w:val="0E517107"/>
    <w:rsid w:val="0E781A7B"/>
    <w:rsid w:val="0E7D3863"/>
    <w:rsid w:val="0E850C23"/>
    <w:rsid w:val="0E864694"/>
    <w:rsid w:val="0E88576D"/>
    <w:rsid w:val="0E890E8C"/>
    <w:rsid w:val="0E91740F"/>
    <w:rsid w:val="0E917AD5"/>
    <w:rsid w:val="0E9B6D3D"/>
    <w:rsid w:val="0EB041F0"/>
    <w:rsid w:val="0EB977F0"/>
    <w:rsid w:val="0EBB0EEB"/>
    <w:rsid w:val="0ED10450"/>
    <w:rsid w:val="0ED236A8"/>
    <w:rsid w:val="0ED532E9"/>
    <w:rsid w:val="0EE541F7"/>
    <w:rsid w:val="0EF47FC9"/>
    <w:rsid w:val="0EF504A3"/>
    <w:rsid w:val="0EFA2EA0"/>
    <w:rsid w:val="0EFF54CB"/>
    <w:rsid w:val="0F006124"/>
    <w:rsid w:val="0F337FD6"/>
    <w:rsid w:val="0F452D81"/>
    <w:rsid w:val="0F545B15"/>
    <w:rsid w:val="0F55721C"/>
    <w:rsid w:val="0F5D01C8"/>
    <w:rsid w:val="0F5F131F"/>
    <w:rsid w:val="0F6504A6"/>
    <w:rsid w:val="0F6E2C12"/>
    <w:rsid w:val="0F814A77"/>
    <w:rsid w:val="0F9E0C52"/>
    <w:rsid w:val="0FA007D7"/>
    <w:rsid w:val="0FA07918"/>
    <w:rsid w:val="0FB31831"/>
    <w:rsid w:val="0FB81473"/>
    <w:rsid w:val="0FBE42F6"/>
    <w:rsid w:val="0FF31690"/>
    <w:rsid w:val="0FFA383F"/>
    <w:rsid w:val="10155416"/>
    <w:rsid w:val="10484CF8"/>
    <w:rsid w:val="104F1672"/>
    <w:rsid w:val="10574AFB"/>
    <w:rsid w:val="106909B5"/>
    <w:rsid w:val="106C1A3D"/>
    <w:rsid w:val="107839B8"/>
    <w:rsid w:val="1093019A"/>
    <w:rsid w:val="10AD18A1"/>
    <w:rsid w:val="10C04890"/>
    <w:rsid w:val="10C52B4D"/>
    <w:rsid w:val="10CB7577"/>
    <w:rsid w:val="10D2613D"/>
    <w:rsid w:val="10DA18F1"/>
    <w:rsid w:val="10DB6B2D"/>
    <w:rsid w:val="10E94F54"/>
    <w:rsid w:val="10F46CEC"/>
    <w:rsid w:val="10FB1182"/>
    <w:rsid w:val="11090DC4"/>
    <w:rsid w:val="1111189F"/>
    <w:rsid w:val="11321E3D"/>
    <w:rsid w:val="113826D7"/>
    <w:rsid w:val="113A346B"/>
    <w:rsid w:val="11645DDB"/>
    <w:rsid w:val="116E6AE3"/>
    <w:rsid w:val="117F59F3"/>
    <w:rsid w:val="118E1112"/>
    <w:rsid w:val="11997ACE"/>
    <w:rsid w:val="11AF0120"/>
    <w:rsid w:val="11CA43E1"/>
    <w:rsid w:val="11D26507"/>
    <w:rsid w:val="120805F6"/>
    <w:rsid w:val="12126DDF"/>
    <w:rsid w:val="122338FE"/>
    <w:rsid w:val="12326D6E"/>
    <w:rsid w:val="123641F1"/>
    <w:rsid w:val="123B3273"/>
    <w:rsid w:val="124D5340"/>
    <w:rsid w:val="125641CD"/>
    <w:rsid w:val="12574E71"/>
    <w:rsid w:val="12737E80"/>
    <w:rsid w:val="129102D3"/>
    <w:rsid w:val="12C61247"/>
    <w:rsid w:val="12CA2120"/>
    <w:rsid w:val="12E11C05"/>
    <w:rsid w:val="12E24B99"/>
    <w:rsid w:val="12F9722B"/>
    <w:rsid w:val="130F00D2"/>
    <w:rsid w:val="13145329"/>
    <w:rsid w:val="132314D6"/>
    <w:rsid w:val="132C06CF"/>
    <w:rsid w:val="133429A6"/>
    <w:rsid w:val="13342AD9"/>
    <w:rsid w:val="13356AEA"/>
    <w:rsid w:val="133F4BF4"/>
    <w:rsid w:val="13522A48"/>
    <w:rsid w:val="135D09DB"/>
    <w:rsid w:val="13637E8D"/>
    <w:rsid w:val="138957EB"/>
    <w:rsid w:val="13976A67"/>
    <w:rsid w:val="13C168CD"/>
    <w:rsid w:val="13C21A16"/>
    <w:rsid w:val="13C57281"/>
    <w:rsid w:val="13D24A29"/>
    <w:rsid w:val="13EF44FB"/>
    <w:rsid w:val="13EF575A"/>
    <w:rsid w:val="13FC77D3"/>
    <w:rsid w:val="1420197F"/>
    <w:rsid w:val="143C55AC"/>
    <w:rsid w:val="144642D1"/>
    <w:rsid w:val="144A6D53"/>
    <w:rsid w:val="1463096A"/>
    <w:rsid w:val="146350F5"/>
    <w:rsid w:val="146B6632"/>
    <w:rsid w:val="14894160"/>
    <w:rsid w:val="148F6522"/>
    <w:rsid w:val="149B5214"/>
    <w:rsid w:val="149E141C"/>
    <w:rsid w:val="14A6142B"/>
    <w:rsid w:val="14AB7152"/>
    <w:rsid w:val="14B3423F"/>
    <w:rsid w:val="14BB2F6A"/>
    <w:rsid w:val="14BC3F44"/>
    <w:rsid w:val="14C24DE4"/>
    <w:rsid w:val="14E2133F"/>
    <w:rsid w:val="14E61804"/>
    <w:rsid w:val="14EB2251"/>
    <w:rsid w:val="14F73FF6"/>
    <w:rsid w:val="14FF73B6"/>
    <w:rsid w:val="150317C5"/>
    <w:rsid w:val="150A241D"/>
    <w:rsid w:val="15253CAD"/>
    <w:rsid w:val="15355695"/>
    <w:rsid w:val="15390648"/>
    <w:rsid w:val="153A0347"/>
    <w:rsid w:val="154A3E5A"/>
    <w:rsid w:val="155A039E"/>
    <w:rsid w:val="15615D7A"/>
    <w:rsid w:val="15653DD6"/>
    <w:rsid w:val="156D0F54"/>
    <w:rsid w:val="157013A4"/>
    <w:rsid w:val="157031E8"/>
    <w:rsid w:val="1573169B"/>
    <w:rsid w:val="15762C99"/>
    <w:rsid w:val="157A12EB"/>
    <w:rsid w:val="15804EAE"/>
    <w:rsid w:val="15860789"/>
    <w:rsid w:val="158730CA"/>
    <w:rsid w:val="15884267"/>
    <w:rsid w:val="15A85288"/>
    <w:rsid w:val="15B041C3"/>
    <w:rsid w:val="15C27778"/>
    <w:rsid w:val="15D81411"/>
    <w:rsid w:val="15DF2C39"/>
    <w:rsid w:val="15ED34B0"/>
    <w:rsid w:val="15F309F2"/>
    <w:rsid w:val="15FB1D34"/>
    <w:rsid w:val="16034E31"/>
    <w:rsid w:val="1605120E"/>
    <w:rsid w:val="16190591"/>
    <w:rsid w:val="161B24ED"/>
    <w:rsid w:val="16315F3B"/>
    <w:rsid w:val="16377DF5"/>
    <w:rsid w:val="165610C7"/>
    <w:rsid w:val="165E7500"/>
    <w:rsid w:val="16603641"/>
    <w:rsid w:val="168A73C9"/>
    <w:rsid w:val="16A41450"/>
    <w:rsid w:val="16CE00E9"/>
    <w:rsid w:val="16D20024"/>
    <w:rsid w:val="16E753B9"/>
    <w:rsid w:val="16E82BAF"/>
    <w:rsid w:val="16EF5FD9"/>
    <w:rsid w:val="16FA7197"/>
    <w:rsid w:val="16FF4681"/>
    <w:rsid w:val="170679EB"/>
    <w:rsid w:val="170A65B2"/>
    <w:rsid w:val="170B3257"/>
    <w:rsid w:val="170F08D4"/>
    <w:rsid w:val="171F3AD6"/>
    <w:rsid w:val="1720460A"/>
    <w:rsid w:val="172C546F"/>
    <w:rsid w:val="1752623F"/>
    <w:rsid w:val="175C6FEB"/>
    <w:rsid w:val="176033C7"/>
    <w:rsid w:val="17607430"/>
    <w:rsid w:val="176730C8"/>
    <w:rsid w:val="176828A6"/>
    <w:rsid w:val="17726F0F"/>
    <w:rsid w:val="17765FB1"/>
    <w:rsid w:val="178A16AA"/>
    <w:rsid w:val="179F6E24"/>
    <w:rsid w:val="17AA279E"/>
    <w:rsid w:val="17AC7C22"/>
    <w:rsid w:val="17B64779"/>
    <w:rsid w:val="17BF6070"/>
    <w:rsid w:val="17C02847"/>
    <w:rsid w:val="17D70A30"/>
    <w:rsid w:val="17E62E44"/>
    <w:rsid w:val="17E85A1B"/>
    <w:rsid w:val="17F259C7"/>
    <w:rsid w:val="1806011E"/>
    <w:rsid w:val="182A3253"/>
    <w:rsid w:val="183B044F"/>
    <w:rsid w:val="184338D8"/>
    <w:rsid w:val="184648E1"/>
    <w:rsid w:val="186179C6"/>
    <w:rsid w:val="186D21F4"/>
    <w:rsid w:val="18721478"/>
    <w:rsid w:val="1880374E"/>
    <w:rsid w:val="188358F3"/>
    <w:rsid w:val="18AD50ED"/>
    <w:rsid w:val="18CA07D5"/>
    <w:rsid w:val="18D144BA"/>
    <w:rsid w:val="18D2335A"/>
    <w:rsid w:val="18D84372"/>
    <w:rsid w:val="18DA3D13"/>
    <w:rsid w:val="18DD4F53"/>
    <w:rsid w:val="18E75BE9"/>
    <w:rsid w:val="18EA1AAB"/>
    <w:rsid w:val="18EC6D83"/>
    <w:rsid w:val="18F400A1"/>
    <w:rsid w:val="18F44795"/>
    <w:rsid w:val="191270CA"/>
    <w:rsid w:val="1926446B"/>
    <w:rsid w:val="193261D5"/>
    <w:rsid w:val="193C2D0B"/>
    <w:rsid w:val="193C5F77"/>
    <w:rsid w:val="194901EF"/>
    <w:rsid w:val="194A7972"/>
    <w:rsid w:val="19570FDA"/>
    <w:rsid w:val="19607E14"/>
    <w:rsid w:val="196111E6"/>
    <w:rsid w:val="19623488"/>
    <w:rsid w:val="196E33D4"/>
    <w:rsid w:val="197429FC"/>
    <w:rsid w:val="1987504C"/>
    <w:rsid w:val="198A747D"/>
    <w:rsid w:val="198E5EAA"/>
    <w:rsid w:val="19966167"/>
    <w:rsid w:val="1997768F"/>
    <w:rsid w:val="19B06CAC"/>
    <w:rsid w:val="19B45E7D"/>
    <w:rsid w:val="19B91E88"/>
    <w:rsid w:val="19C51929"/>
    <w:rsid w:val="19C8067C"/>
    <w:rsid w:val="19CA0D80"/>
    <w:rsid w:val="19E82583"/>
    <w:rsid w:val="1A0B6088"/>
    <w:rsid w:val="1A0F5D37"/>
    <w:rsid w:val="1A234F13"/>
    <w:rsid w:val="1A244D5E"/>
    <w:rsid w:val="1A2C0DB5"/>
    <w:rsid w:val="1A311D63"/>
    <w:rsid w:val="1A354B66"/>
    <w:rsid w:val="1A371F59"/>
    <w:rsid w:val="1A3C1410"/>
    <w:rsid w:val="1A3D5BCF"/>
    <w:rsid w:val="1A457E8D"/>
    <w:rsid w:val="1A635A93"/>
    <w:rsid w:val="1A694F56"/>
    <w:rsid w:val="1A75332B"/>
    <w:rsid w:val="1A8B06DE"/>
    <w:rsid w:val="1A8F7A8E"/>
    <w:rsid w:val="1A927CAC"/>
    <w:rsid w:val="1A9A727D"/>
    <w:rsid w:val="1A9E5BFF"/>
    <w:rsid w:val="1AAC6613"/>
    <w:rsid w:val="1AB244D3"/>
    <w:rsid w:val="1AB610FB"/>
    <w:rsid w:val="1ABF2410"/>
    <w:rsid w:val="1AC54390"/>
    <w:rsid w:val="1ACA25CB"/>
    <w:rsid w:val="1ACE306A"/>
    <w:rsid w:val="1ACF6564"/>
    <w:rsid w:val="1AF51B94"/>
    <w:rsid w:val="1B030B49"/>
    <w:rsid w:val="1B147E82"/>
    <w:rsid w:val="1B465F49"/>
    <w:rsid w:val="1B4D5E7F"/>
    <w:rsid w:val="1B516EFF"/>
    <w:rsid w:val="1B6F65FF"/>
    <w:rsid w:val="1B88752F"/>
    <w:rsid w:val="1BA2637C"/>
    <w:rsid w:val="1BA5364D"/>
    <w:rsid w:val="1BB457EC"/>
    <w:rsid w:val="1BB91B3F"/>
    <w:rsid w:val="1BBE6EB6"/>
    <w:rsid w:val="1BBF04D3"/>
    <w:rsid w:val="1BC81510"/>
    <w:rsid w:val="1BCA270E"/>
    <w:rsid w:val="1BCD6C85"/>
    <w:rsid w:val="1BCF4794"/>
    <w:rsid w:val="1BDE6192"/>
    <w:rsid w:val="1BEB1D5C"/>
    <w:rsid w:val="1BFB4961"/>
    <w:rsid w:val="1C116601"/>
    <w:rsid w:val="1C13347E"/>
    <w:rsid w:val="1C284A6D"/>
    <w:rsid w:val="1C2B5AA8"/>
    <w:rsid w:val="1C31703E"/>
    <w:rsid w:val="1C4A7ABE"/>
    <w:rsid w:val="1C51612D"/>
    <w:rsid w:val="1C59501A"/>
    <w:rsid w:val="1C5C026C"/>
    <w:rsid w:val="1C72771A"/>
    <w:rsid w:val="1C730B82"/>
    <w:rsid w:val="1C843A04"/>
    <w:rsid w:val="1C96518C"/>
    <w:rsid w:val="1C9A5EA7"/>
    <w:rsid w:val="1CA54F38"/>
    <w:rsid w:val="1CA632C8"/>
    <w:rsid w:val="1CAC1DDA"/>
    <w:rsid w:val="1CB1627B"/>
    <w:rsid w:val="1CD47E00"/>
    <w:rsid w:val="1CDC16C3"/>
    <w:rsid w:val="1CE46DAD"/>
    <w:rsid w:val="1CE778E1"/>
    <w:rsid w:val="1CE9326F"/>
    <w:rsid w:val="1CEF521D"/>
    <w:rsid w:val="1CF66D34"/>
    <w:rsid w:val="1D100708"/>
    <w:rsid w:val="1D2E4F3E"/>
    <w:rsid w:val="1D3620D3"/>
    <w:rsid w:val="1D3A311C"/>
    <w:rsid w:val="1D495481"/>
    <w:rsid w:val="1D4D4A09"/>
    <w:rsid w:val="1D54441E"/>
    <w:rsid w:val="1D641E7E"/>
    <w:rsid w:val="1D7011CC"/>
    <w:rsid w:val="1D7355BA"/>
    <w:rsid w:val="1D746AA5"/>
    <w:rsid w:val="1D7C2734"/>
    <w:rsid w:val="1D7F3F10"/>
    <w:rsid w:val="1DB3718B"/>
    <w:rsid w:val="1DBA70F4"/>
    <w:rsid w:val="1DC409AD"/>
    <w:rsid w:val="1DCA4866"/>
    <w:rsid w:val="1DD865DC"/>
    <w:rsid w:val="1DEB17C0"/>
    <w:rsid w:val="1DFB3626"/>
    <w:rsid w:val="1E5A3529"/>
    <w:rsid w:val="1E621751"/>
    <w:rsid w:val="1E636730"/>
    <w:rsid w:val="1E6B6287"/>
    <w:rsid w:val="1E827CC6"/>
    <w:rsid w:val="1E875215"/>
    <w:rsid w:val="1E92746A"/>
    <w:rsid w:val="1EA504C6"/>
    <w:rsid w:val="1EB359D9"/>
    <w:rsid w:val="1EB451AD"/>
    <w:rsid w:val="1ECD79F8"/>
    <w:rsid w:val="1ECE110D"/>
    <w:rsid w:val="1ED84101"/>
    <w:rsid w:val="1ED9373F"/>
    <w:rsid w:val="1EE153F6"/>
    <w:rsid w:val="1EE64529"/>
    <w:rsid w:val="1EE738F4"/>
    <w:rsid w:val="1EEB27B3"/>
    <w:rsid w:val="1EEC63D7"/>
    <w:rsid w:val="1F033FEA"/>
    <w:rsid w:val="1F0467BB"/>
    <w:rsid w:val="1F052FA8"/>
    <w:rsid w:val="1F0C0D07"/>
    <w:rsid w:val="1F1E41B7"/>
    <w:rsid w:val="1F26523E"/>
    <w:rsid w:val="1F294D25"/>
    <w:rsid w:val="1F3130F4"/>
    <w:rsid w:val="1F453867"/>
    <w:rsid w:val="1F57682B"/>
    <w:rsid w:val="1F5844BB"/>
    <w:rsid w:val="1F5A6CB8"/>
    <w:rsid w:val="1F6054A4"/>
    <w:rsid w:val="1F6529A8"/>
    <w:rsid w:val="1F895C83"/>
    <w:rsid w:val="1F8D29B5"/>
    <w:rsid w:val="1F8E1974"/>
    <w:rsid w:val="1F8E5A2A"/>
    <w:rsid w:val="1FA60ED8"/>
    <w:rsid w:val="1FB508B9"/>
    <w:rsid w:val="1FC15C67"/>
    <w:rsid w:val="1FCF2D4E"/>
    <w:rsid w:val="1FDE34DA"/>
    <w:rsid w:val="201271D6"/>
    <w:rsid w:val="201D30B6"/>
    <w:rsid w:val="202F1050"/>
    <w:rsid w:val="204F31E3"/>
    <w:rsid w:val="205B583F"/>
    <w:rsid w:val="20625A4B"/>
    <w:rsid w:val="20715B41"/>
    <w:rsid w:val="20791015"/>
    <w:rsid w:val="207B5270"/>
    <w:rsid w:val="208761EE"/>
    <w:rsid w:val="208C159E"/>
    <w:rsid w:val="209C107F"/>
    <w:rsid w:val="20A8601A"/>
    <w:rsid w:val="20AF0BE2"/>
    <w:rsid w:val="20BA507E"/>
    <w:rsid w:val="20BD69E0"/>
    <w:rsid w:val="20C14937"/>
    <w:rsid w:val="20C9695B"/>
    <w:rsid w:val="20D25657"/>
    <w:rsid w:val="20D25E3F"/>
    <w:rsid w:val="20E8292D"/>
    <w:rsid w:val="210022C5"/>
    <w:rsid w:val="210B396F"/>
    <w:rsid w:val="210C2AEE"/>
    <w:rsid w:val="210C3FF8"/>
    <w:rsid w:val="211F28B4"/>
    <w:rsid w:val="211F46B1"/>
    <w:rsid w:val="21300BC9"/>
    <w:rsid w:val="21325804"/>
    <w:rsid w:val="214C2BB6"/>
    <w:rsid w:val="2168338D"/>
    <w:rsid w:val="216B4888"/>
    <w:rsid w:val="2174732D"/>
    <w:rsid w:val="21767098"/>
    <w:rsid w:val="217E1722"/>
    <w:rsid w:val="21B40271"/>
    <w:rsid w:val="21B53EFA"/>
    <w:rsid w:val="21B54917"/>
    <w:rsid w:val="21C24969"/>
    <w:rsid w:val="21CB6285"/>
    <w:rsid w:val="21CD2438"/>
    <w:rsid w:val="21F71CD6"/>
    <w:rsid w:val="220E03C6"/>
    <w:rsid w:val="221A4E7F"/>
    <w:rsid w:val="22204D5A"/>
    <w:rsid w:val="222435E5"/>
    <w:rsid w:val="223D05FA"/>
    <w:rsid w:val="22434C69"/>
    <w:rsid w:val="22474CFC"/>
    <w:rsid w:val="226B6AEC"/>
    <w:rsid w:val="226F5260"/>
    <w:rsid w:val="22870F26"/>
    <w:rsid w:val="22C537E6"/>
    <w:rsid w:val="22CB2B98"/>
    <w:rsid w:val="22CD64AE"/>
    <w:rsid w:val="22D320D0"/>
    <w:rsid w:val="22E1012B"/>
    <w:rsid w:val="22E51EBA"/>
    <w:rsid w:val="22E727FE"/>
    <w:rsid w:val="22FB0AA6"/>
    <w:rsid w:val="2307698D"/>
    <w:rsid w:val="23100064"/>
    <w:rsid w:val="2322375E"/>
    <w:rsid w:val="233B3AD0"/>
    <w:rsid w:val="2347380C"/>
    <w:rsid w:val="235768B5"/>
    <w:rsid w:val="23626D0A"/>
    <w:rsid w:val="236D4536"/>
    <w:rsid w:val="23730439"/>
    <w:rsid w:val="23740965"/>
    <w:rsid w:val="23794DC4"/>
    <w:rsid w:val="23C44BD6"/>
    <w:rsid w:val="23C471AA"/>
    <w:rsid w:val="23E468FE"/>
    <w:rsid w:val="23EF6807"/>
    <w:rsid w:val="23F05CCB"/>
    <w:rsid w:val="23F658F5"/>
    <w:rsid w:val="23F9471E"/>
    <w:rsid w:val="24091729"/>
    <w:rsid w:val="2419493D"/>
    <w:rsid w:val="241E3F8F"/>
    <w:rsid w:val="243C5A74"/>
    <w:rsid w:val="24490388"/>
    <w:rsid w:val="24506E37"/>
    <w:rsid w:val="245565F7"/>
    <w:rsid w:val="245D7F9E"/>
    <w:rsid w:val="2482099E"/>
    <w:rsid w:val="24833273"/>
    <w:rsid w:val="248F4F99"/>
    <w:rsid w:val="24A4137A"/>
    <w:rsid w:val="24B0231F"/>
    <w:rsid w:val="24B9000F"/>
    <w:rsid w:val="24CD04FF"/>
    <w:rsid w:val="24D15BC3"/>
    <w:rsid w:val="24DA4C97"/>
    <w:rsid w:val="24E9585E"/>
    <w:rsid w:val="24F87DA6"/>
    <w:rsid w:val="2515159C"/>
    <w:rsid w:val="251F11B8"/>
    <w:rsid w:val="2520421F"/>
    <w:rsid w:val="25276F3C"/>
    <w:rsid w:val="254E3A70"/>
    <w:rsid w:val="256C4E76"/>
    <w:rsid w:val="256D3C9A"/>
    <w:rsid w:val="25746A0F"/>
    <w:rsid w:val="25826DD6"/>
    <w:rsid w:val="258768AE"/>
    <w:rsid w:val="258E0E3B"/>
    <w:rsid w:val="259209EB"/>
    <w:rsid w:val="259D5667"/>
    <w:rsid w:val="259E7034"/>
    <w:rsid w:val="25A34401"/>
    <w:rsid w:val="25B86ECC"/>
    <w:rsid w:val="25C672BF"/>
    <w:rsid w:val="25C849C2"/>
    <w:rsid w:val="25F13EBC"/>
    <w:rsid w:val="25F713BC"/>
    <w:rsid w:val="26082E4A"/>
    <w:rsid w:val="261927AB"/>
    <w:rsid w:val="261A4372"/>
    <w:rsid w:val="26204E32"/>
    <w:rsid w:val="262312AF"/>
    <w:rsid w:val="2631227D"/>
    <w:rsid w:val="26313830"/>
    <w:rsid w:val="26443755"/>
    <w:rsid w:val="264A5CB5"/>
    <w:rsid w:val="265F62F1"/>
    <w:rsid w:val="26662463"/>
    <w:rsid w:val="26706D66"/>
    <w:rsid w:val="267609FF"/>
    <w:rsid w:val="268858AB"/>
    <w:rsid w:val="26900CC6"/>
    <w:rsid w:val="269C77F6"/>
    <w:rsid w:val="26AA3C04"/>
    <w:rsid w:val="26AC7567"/>
    <w:rsid w:val="26C22897"/>
    <w:rsid w:val="26D840D3"/>
    <w:rsid w:val="26D96DC4"/>
    <w:rsid w:val="26EC12AA"/>
    <w:rsid w:val="26F24C98"/>
    <w:rsid w:val="26F533F9"/>
    <w:rsid w:val="26F87B8F"/>
    <w:rsid w:val="270526DC"/>
    <w:rsid w:val="271921B0"/>
    <w:rsid w:val="27263019"/>
    <w:rsid w:val="2729411D"/>
    <w:rsid w:val="273B0FF8"/>
    <w:rsid w:val="273B1369"/>
    <w:rsid w:val="274000ED"/>
    <w:rsid w:val="27422A77"/>
    <w:rsid w:val="274730DD"/>
    <w:rsid w:val="274744E2"/>
    <w:rsid w:val="274934B2"/>
    <w:rsid w:val="274C7263"/>
    <w:rsid w:val="27531CD3"/>
    <w:rsid w:val="275B7696"/>
    <w:rsid w:val="2760238A"/>
    <w:rsid w:val="27602AD4"/>
    <w:rsid w:val="27750F48"/>
    <w:rsid w:val="27765109"/>
    <w:rsid w:val="277C0298"/>
    <w:rsid w:val="2784097D"/>
    <w:rsid w:val="27A1497D"/>
    <w:rsid w:val="27C45CF4"/>
    <w:rsid w:val="27CB4377"/>
    <w:rsid w:val="27CC03A4"/>
    <w:rsid w:val="27D240EE"/>
    <w:rsid w:val="27D920AB"/>
    <w:rsid w:val="27F40FD3"/>
    <w:rsid w:val="280076DC"/>
    <w:rsid w:val="28017ABD"/>
    <w:rsid w:val="28045CD5"/>
    <w:rsid w:val="28081174"/>
    <w:rsid w:val="2821021D"/>
    <w:rsid w:val="282E7066"/>
    <w:rsid w:val="2831222A"/>
    <w:rsid w:val="28326886"/>
    <w:rsid w:val="283B7DF9"/>
    <w:rsid w:val="28570644"/>
    <w:rsid w:val="285F7FCC"/>
    <w:rsid w:val="28730C75"/>
    <w:rsid w:val="28785EA2"/>
    <w:rsid w:val="28810E26"/>
    <w:rsid w:val="289A71A2"/>
    <w:rsid w:val="28AA458B"/>
    <w:rsid w:val="28B361A8"/>
    <w:rsid w:val="28D2484B"/>
    <w:rsid w:val="28D332FF"/>
    <w:rsid w:val="28FD1AEA"/>
    <w:rsid w:val="29005CDD"/>
    <w:rsid w:val="2902245E"/>
    <w:rsid w:val="290B660F"/>
    <w:rsid w:val="290D57D3"/>
    <w:rsid w:val="29115341"/>
    <w:rsid w:val="29132444"/>
    <w:rsid w:val="291715E3"/>
    <w:rsid w:val="291D6D28"/>
    <w:rsid w:val="29262415"/>
    <w:rsid w:val="293E2A01"/>
    <w:rsid w:val="29582988"/>
    <w:rsid w:val="298833C5"/>
    <w:rsid w:val="29AC795C"/>
    <w:rsid w:val="29B55E3E"/>
    <w:rsid w:val="29C03779"/>
    <w:rsid w:val="29D04F52"/>
    <w:rsid w:val="29D50B0C"/>
    <w:rsid w:val="29F31753"/>
    <w:rsid w:val="29F35489"/>
    <w:rsid w:val="29FF2304"/>
    <w:rsid w:val="2A010BEF"/>
    <w:rsid w:val="2A0C34A8"/>
    <w:rsid w:val="2A113DA4"/>
    <w:rsid w:val="2A140C05"/>
    <w:rsid w:val="2A2D58D5"/>
    <w:rsid w:val="2A4429B1"/>
    <w:rsid w:val="2A447D73"/>
    <w:rsid w:val="2A641274"/>
    <w:rsid w:val="2A742AF1"/>
    <w:rsid w:val="2A7B3914"/>
    <w:rsid w:val="2A8441A1"/>
    <w:rsid w:val="2A8822C0"/>
    <w:rsid w:val="2AA07514"/>
    <w:rsid w:val="2AA858C7"/>
    <w:rsid w:val="2AAE2C45"/>
    <w:rsid w:val="2AD74C37"/>
    <w:rsid w:val="2ADB7F5C"/>
    <w:rsid w:val="2AE92EAA"/>
    <w:rsid w:val="2B19081E"/>
    <w:rsid w:val="2B3C57A9"/>
    <w:rsid w:val="2B460A34"/>
    <w:rsid w:val="2B586D5D"/>
    <w:rsid w:val="2B6F7D6C"/>
    <w:rsid w:val="2B8E3C6C"/>
    <w:rsid w:val="2BA3685E"/>
    <w:rsid w:val="2BB25419"/>
    <w:rsid w:val="2BB65952"/>
    <w:rsid w:val="2BB6789A"/>
    <w:rsid w:val="2BB7432F"/>
    <w:rsid w:val="2BC03E1E"/>
    <w:rsid w:val="2BCE6BD1"/>
    <w:rsid w:val="2BDF2850"/>
    <w:rsid w:val="2BE9416E"/>
    <w:rsid w:val="2BF84CE0"/>
    <w:rsid w:val="2C272B49"/>
    <w:rsid w:val="2C3B6CC8"/>
    <w:rsid w:val="2C462271"/>
    <w:rsid w:val="2C4B7AE6"/>
    <w:rsid w:val="2C5C747E"/>
    <w:rsid w:val="2C8801CF"/>
    <w:rsid w:val="2CB576B1"/>
    <w:rsid w:val="2CBB18CA"/>
    <w:rsid w:val="2CBD05BE"/>
    <w:rsid w:val="2CD060B2"/>
    <w:rsid w:val="2CE005A5"/>
    <w:rsid w:val="2CEF67FC"/>
    <w:rsid w:val="2D0D5930"/>
    <w:rsid w:val="2D0F62A7"/>
    <w:rsid w:val="2D0F64BD"/>
    <w:rsid w:val="2D233E1A"/>
    <w:rsid w:val="2D2B4FD6"/>
    <w:rsid w:val="2D3E15E7"/>
    <w:rsid w:val="2D43651B"/>
    <w:rsid w:val="2D49669E"/>
    <w:rsid w:val="2D4D21D4"/>
    <w:rsid w:val="2D523C56"/>
    <w:rsid w:val="2D62357C"/>
    <w:rsid w:val="2D7E6970"/>
    <w:rsid w:val="2D893A36"/>
    <w:rsid w:val="2D8D3A37"/>
    <w:rsid w:val="2D913D0A"/>
    <w:rsid w:val="2DAE469C"/>
    <w:rsid w:val="2DBC10FE"/>
    <w:rsid w:val="2DC76876"/>
    <w:rsid w:val="2DC95EC8"/>
    <w:rsid w:val="2DCD6E7D"/>
    <w:rsid w:val="2DD76A5C"/>
    <w:rsid w:val="2DD842BF"/>
    <w:rsid w:val="2DDB7877"/>
    <w:rsid w:val="2DF156ED"/>
    <w:rsid w:val="2DF77290"/>
    <w:rsid w:val="2DF83CF9"/>
    <w:rsid w:val="2E140975"/>
    <w:rsid w:val="2E302D2B"/>
    <w:rsid w:val="2E366A0A"/>
    <w:rsid w:val="2E403EDE"/>
    <w:rsid w:val="2E4B602D"/>
    <w:rsid w:val="2E7009E8"/>
    <w:rsid w:val="2E7D77FC"/>
    <w:rsid w:val="2E833F49"/>
    <w:rsid w:val="2E8415BB"/>
    <w:rsid w:val="2E9314C2"/>
    <w:rsid w:val="2E972ABC"/>
    <w:rsid w:val="2E9B7B94"/>
    <w:rsid w:val="2EB540CC"/>
    <w:rsid w:val="2EB80EB6"/>
    <w:rsid w:val="2EBD4813"/>
    <w:rsid w:val="2ECD2DCB"/>
    <w:rsid w:val="2EE63D95"/>
    <w:rsid w:val="2EE83ECA"/>
    <w:rsid w:val="2EEE32F9"/>
    <w:rsid w:val="2EF01796"/>
    <w:rsid w:val="2EFD7717"/>
    <w:rsid w:val="2F0411D1"/>
    <w:rsid w:val="2F042BED"/>
    <w:rsid w:val="2F2B205E"/>
    <w:rsid w:val="2F3F23A0"/>
    <w:rsid w:val="2F4414FA"/>
    <w:rsid w:val="2F4A5D3A"/>
    <w:rsid w:val="2F4A7426"/>
    <w:rsid w:val="2F597074"/>
    <w:rsid w:val="2F6A6460"/>
    <w:rsid w:val="2F875074"/>
    <w:rsid w:val="2F9463B6"/>
    <w:rsid w:val="2F947791"/>
    <w:rsid w:val="2FA31B2C"/>
    <w:rsid w:val="2FA416DE"/>
    <w:rsid w:val="2FAD4BA7"/>
    <w:rsid w:val="2FAE5DB1"/>
    <w:rsid w:val="2FB1074C"/>
    <w:rsid w:val="2FB165FC"/>
    <w:rsid w:val="2FDC5066"/>
    <w:rsid w:val="2FE27740"/>
    <w:rsid w:val="2FF04CA7"/>
    <w:rsid w:val="2FF4508F"/>
    <w:rsid w:val="2FF81D97"/>
    <w:rsid w:val="3001233A"/>
    <w:rsid w:val="300601D0"/>
    <w:rsid w:val="300D50A9"/>
    <w:rsid w:val="301929A8"/>
    <w:rsid w:val="301A5E56"/>
    <w:rsid w:val="301E15DC"/>
    <w:rsid w:val="302B4ED8"/>
    <w:rsid w:val="302D0CE8"/>
    <w:rsid w:val="30320AD6"/>
    <w:rsid w:val="303865D4"/>
    <w:rsid w:val="303932C5"/>
    <w:rsid w:val="30397019"/>
    <w:rsid w:val="30511702"/>
    <w:rsid w:val="30532861"/>
    <w:rsid w:val="305B1A55"/>
    <w:rsid w:val="30737E20"/>
    <w:rsid w:val="307B674D"/>
    <w:rsid w:val="308E6F1A"/>
    <w:rsid w:val="30B8401E"/>
    <w:rsid w:val="30BC1BFF"/>
    <w:rsid w:val="30C24B6D"/>
    <w:rsid w:val="30C503B2"/>
    <w:rsid w:val="30CC070B"/>
    <w:rsid w:val="30D7024C"/>
    <w:rsid w:val="31024328"/>
    <w:rsid w:val="310E5113"/>
    <w:rsid w:val="31187D77"/>
    <w:rsid w:val="31290EF6"/>
    <w:rsid w:val="312C1D4C"/>
    <w:rsid w:val="313370D7"/>
    <w:rsid w:val="31341DF2"/>
    <w:rsid w:val="313D716C"/>
    <w:rsid w:val="314904B5"/>
    <w:rsid w:val="314F0561"/>
    <w:rsid w:val="314F7EAA"/>
    <w:rsid w:val="31510435"/>
    <w:rsid w:val="317B7206"/>
    <w:rsid w:val="31802175"/>
    <w:rsid w:val="31865A40"/>
    <w:rsid w:val="319D494D"/>
    <w:rsid w:val="31A82CB5"/>
    <w:rsid w:val="31BB2125"/>
    <w:rsid w:val="31C5041D"/>
    <w:rsid w:val="31C85DFD"/>
    <w:rsid w:val="31DF70D3"/>
    <w:rsid w:val="31E16C4E"/>
    <w:rsid w:val="31E6093F"/>
    <w:rsid w:val="31EC0C4C"/>
    <w:rsid w:val="31ED73EB"/>
    <w:rsid w:val="31F92104"/>
    <w:rsid w:val="320B7D56"/>
    <w:rsid w:val="32167667"/>
    <w:rsid w:val="32291F38"/>
    <w:rsid w:val="322C2349"/>
    <w:rsid w:val="32310D2C"/>
    <w:rsid w:val="3255698C"/>
    <w:rsid w:val="3264214D"/>
    <w:rsid w:val="32656845"/>
    <w:rsid w:val="326B065A"/>
    <w:rsid w:val="327B1FF5"/>
    <w:rsid w:val="327D275F"/>
    <w:rsid w:val="32C57F16"/>
    <w:rsid w:val="32D02A1A"/>
    <w:rsid w:val="32D12EAC"/>
    <w:rsid w:val="32DA19B3"/>
    <w:rsid w:val="32DA61F8"/>
    <w:rsid w:val="32DB10E9"/>
    <w:rsid w:val="32E15FE6"/>
    <w:rsid w:val="32F71D4B"/>
    <w:rsid w:val="330F33E2"/>
    <w:rsid w:val="33172C3E"/>
    <w:rsid w:val="3346191E"/>
    <w:rsid w:val="335142D0"/>
    <w:rsid w:val="33531323"/>
    <w:rsid w:val="33626723"/>
    <w:rsid w:val="336A7EB3"/>
    <w:rsid w:val="33785CDD"/>
    <w:rsid w:val="337A7A6B"/>
    <w:rsid w:val="338D64B6"/>
    <w:rsid w:val="33AE1F2E"/>
    <w:rsid w:val="33C44CD3"/>
    <w:rsid w:val="33CF4B1E"/>
    <w:rsid w:val="33DF6B01"/>
    <w:rsid w:val="33E52314"/>
    <w:rsid w:val="33E62133"/>
    <w:rsid w:val="33E9474B"/>
    <w:rsid w:val="33EF0EE9"/>
    <w:rsid w:val="33FA5A50"/>
    <w:rsid w:val="34166E04"/>
    <w:rsid w:val="342247D7"/>
    <w:rsid w:val="342B35B0"/>
    <w:rsid w:val="34393612"/>
    <w:rsid w:val="344B4226"/>
    <w:rsid w:val="345774E5"/>
    <w:rsid w:val="345876C2"/>
    <w:rsid w:val="346031F9"/>
    <w:rsid w:val="34692F9B"/>
    <w:rsid w:val="346B1D0D"/>
    <w:rsid w:val="346F41B0"/>
    <w:rsid w:val="34751568"/>
    <w:rsid w:val="347831DE"/>
    <w:rsid w:val="34803450"/>
    <w:rsid w:val="348706DA"/>
    <w:rsid w:val="349313D3"/>
    <w:rsid w:val="34996103"/>
    <w:rsid w:val="34C90CA8"/>
    <w:rsid w:val="34E03BED"/>
    <w:rsid w:val="34E6257C"/>
    <w:rsid w:val="34F71E19"/>
    <w:rsid w:val="34FB2E78"/>
    <w:rsid w:val="350561C8"/>
    <w:rsid w:val="35061D35"/>
    <w:rsid w:val="35131776"/>
    <w:rsid w:val="351D295C"/>
    <w:rsid w:val="35205999"/>
    <w:rsid w:val="354058BF"/>
    <w:rsid w:val="354461D5"/>
    <w:rsid w:val="35465B2B"/>
    <w:rsid w:val="355A5E46"/>
    <w:rsid w:val="355F5E61"/>
    <w:rsid w:val="3563282F"/>
    <w:rsid w:val="356554FE"/>
    <w:rsid w:val="356C05B3"/>
    <w:rsid w:val="35706D7E"/>
    <w:rsid w:val="357B37FD"/>
    <w:rsid w:val="35AF287A"/>
    <w:rsid w:val="35ED3C90"/>
    <w:rsid w:val="35F62E11"/>
    <w:rsid w:val="36060AE8"/>
    <w:rsid w:val="360D43BE"/>
    <w:rsid w:val="360E4A16"/>
    <w:rsid w:val="362F2EE5"/>
    <w:rsid w:val="363A1484"/>
    <w:rsid w:val="363C30F2"/>
    <w:rsid w:val="36636ADB"/>
    <w:rsid w:val="3672566F"/>
    <w:rsid w:val="368C53D4"/>
    <w:rsid w:val="368F1D33"/>
    <w:rsid w:val="36994F5C"/>
    <w:rsid w:val="36CD51C2"/>
    <w:rsid w:val="36DD1A91"/>
    <w:rsid w:val="36DD6D3A"/>
    <w:rsid w:val="36E57F26"/>
    <w:rsid w:val="36EB754F"/>
    <w:rsid w:val="36F36EA9"/>
    <w:rsid w:val="36F94F8C"/>
    <w:rsid w:val="370B43B1"/>
    <w:rsid w:val="3716462C"/>
    <w:rsid w:val="371A79F5"/>
    <w:rsid w:val="37232989"/>
    <w:rsid w:val="372D3209"/>
    <w:rsid w:val="373437EB"/>
    <w:rsid w:val="373459D6"/>
    <w:rsid w:val="373A67EB"/>
    <w:rsid w:val="37465A98"/>
    <w:rsid w:val="3751779F"/>
    <w:rsid w:val="376071EB"/>
    <w:rsid w:val="3777433A"/>
    <w:rsid w:val="37776436"/>
    <w:rsid w:val="378545C9"/>
    <w:rsid w:val="378A52FD"/>
    <w:rsid w:val="379574F0"/>
    <w:rsid w:val="37965D28"/>
    <w:rsid w:val="37A0044A"/>
    <w:rsid w:val="37A87BCF"/>
    <w:rsid w:val="37BD7941"/>
    <w:rsid w:val="37C54A38"/>
    <w:rsid w:val="37E2044F"/>
    <w:rsid w:val="37E456E8"/>
    <w:rsid w:val="38022F53"/>
    <w:rsid w:val="380745ED"/>
    <w:rsid w:val="380C09FD"/>
    <w:rsid w:val="382A6B66"/>
    <w:rsid w:val="38343FF6"/>
    <w:rsid w:val="383B220D"/>
    <w:rsid w:val="385C4EA1"/>
    <w:rsid w:val="385D377C"/>
    <w:rsid w:val="387029DE"/>
    <w:rsid w:val="38796F58"/>
    <w:rsid w:val="387B3ECD"/>
    <w:rsid w:val="387E6BD1"/>
    <w:rsid w:val="38805392"/>
    <w:rsid w:val="38A41DF6"/>
    <w:rsid w:val="38B765B5"/>
    <w:rsid w:val="38BE7113"/>
    <w:rsid w:val="38C2331B"/>
    <w:rsid w:val="38DD7430"/>
    <w:rsid w:val="38DE2680"/>
    <w:rsid w:val="38E2029F"/>
    <w:rsid w:val="38E43BC8"/>
    <w:rsid w:val="38E735B4"/>
    <w:rsid w:val="38ED6358"/>
    <w:rsid w:val="38F1529C"/>
    <w:rsid w:val="38FF5328"/>
    <w:rsid w:val="390518B9"/>
    <w:rsid w:val="39076BC5"/>
    <w:rsid w:val="390A1609"/>
    <w:rsid w:val="390B093F"/>
    <w:rsid w:val="391B22F5"/>
    <w:rsid w:val="394C7D4F"/>
    <w:rsid w:val="394D7E82"/>
    <w:rsid w:val="395D6E65"/>
    <w:rsid w:val="395E2BFF"/>
    <w:rsid w:val="395F6C7F"/>
    <w:rsid w:val="396C0722"/>
    <w:rsid w:val="396E0076"/>
    <w:rsid w:val="397818F2"/>
    <w:rsid w:val="3989577A"/>
    <w:rsid w:val="3996768C"/>
    <w:rsid w:val="3997559E"/>
    <w:rsid w:val="39C331DE"/>
    <w:rsid w:val="39E4219C"/>
    <w:rsid w:val="39E81581"/>
    <w:rsid w:val="3A081251"/>
    <w:rsid w:val="3A0846FF"/>
    <w:rsid w:val="3A0E763E"/>
    <w:rsid w:val="3A2941B9"/>
    <w:rsid w:val="3A430C6D"/>
    <w:rsid w:val="3A431F2E"/>
    <w:rsid w:val="3A4435D5"/>
    <w:rsid w:val="3A4F521A"/>
    <w:rsid w:val="3A584F0D"/>
    <w:rsid w:val="3A6A455E"/>
    <w:rsid w:val="3A6C3446"/>
    <w:rsid w:val="3A72577B"/>
    <w:rsid w:val="3A7817A7"/>
    <w:rsid w:val="3A85346E"/>
    <w:rsid w:val="3A8E5BC2"/>
    <w:rsid w:val="3AA84FC4"/>
    <w:rsid w:val="3AA94B20"/>
    <w:rsid w:val="3AAA50C2"/>
    <w:rsid w:val="3AB96F59"/>
    <w:rsid w:val="3ABB6498"/>
    <w:rsid w:val="3AC31CB0"/>
    <w:rsid w:val="3AD83F6D"/>
    <w:rsid w:val="3AE623F5"/>
    <w:rsid w:val="3B017835"/>
    <w:rsid w:val="3B2C0626"/>
    <w:rsid w:val="3B667C69"/>
    <w:rsid w:val="3B69244F"/>
    <w:rsid w:val="3B6B1793"/>
    <w:rsid w:val="3B765010"/>
    <w:rsid w:val="3B854063"/>
    <w:rsid w:val="3B857B60"/>
    <w:rsid w:val="3B951FB7"/>
    <w:rsid w:val="3BA64688"/>
    <w:rsid w:val="3BAE090B"/>
    <w:rsid w:val="3BB07220"/>
    <w:rsid w:val="3BB9493D"/>
    <w:rsid w:val="3BE24B88"/>
    <w:rsid w:val="3BF423D8"/>
    <w:rsid w:val="3C05571E"/>
    <w:rsid w:val="3C0A6701"/>
    <w:rsid w:val="3C126F55"/>
    <w:rsid w:val="3C187174"/>
    <w:rsid w:val="3C1B55B5"/>
    <w:rsid w:val="3C3E0342"/>
    <w:rsid w:val="3C3F3F10"/>
    <w:rsid w:val="3C4B22CA"/>
    <w:rsid w:val="3C5841A3"/>
    <w:rsid w:val="3C5A266C"/>
    <w:rsid w:val="3C6A5BAE"/>
    <w:rsid w:val="3C8A2823"/>
    <w:rsid w:val="3C997D23"/>
    <w:rsid w:val="3C9C428C"/>
    <w:rsid w:val="3CA53AA8"/>
    <w:rsid w:val="3CB05C5D"/>
    <w:rsid w:val="3CB37EE3"/>
    <w:rsid w:val="3CB437D5"/>
    <w:rsid w:val="3CB65D1C"/>
    <w:rsid w:val="3CC9167D"/>
    <w:rsid w:val="3CDE7CF7"/>
    <w:rsid w:val="3CF73C55"/>
    <w:rsid w:val="3CF97E6A"/>
    <w:rsid w:val="3D002E73"/>
    <w:rsid w:val="3D09495C"/>
    <w:rsid w:val="3D0D1141"/>
    <w:rsid w:val="3D1712FD"/>
    <w:rsid w:val="3D1E4E95"/>
    <w:rsid w:val="3D29227C"/>
    <w:rsid w:val="3D3064E4"/>
    <w:rsid w:val="3D333A7A"/>
    <w:rsid w:val="3D383EEB"/>
    <w:rsid w:val="3D4A01A6"/>
    <w:rsid w:val="3D5105B6"/>
    <w:rsid w:val="3D613E65"/>
    <w:rsid w:val="3D7D6603"/>
    <w:rsid w:val="3D7E4D2A"/>
    <w:rsid w:val="3D85112B"/>
    <w:rsid w:val="3D9F235C"/>
    <w:rsid w:val="3DA2556F"/>
    <w:rsid w:val="3DA347BB"/>
    <w:rsid w:val="3DA35F82"/>
    <w:rsid w:val="3DA372FA"/>
    <w:rsid w:val="3DA652A8"/>
    <w:rsid w:val="3DB57B1A"/>
    <w:rsid w:val="3DD37407"/>
    <w:rsid w:val="3DE209DB"/>
    <w:rsid w:val="3DEA3547"/>
    <w:rsid w:val="3DEE7182"/>
    <w:rsid w:val="3DEF1518"/>
    <w:rsid w:val="3E0E40CF"/>
    <w:rsid w:val="3E1163AE"/>
    <w:rsid w:val="3E1678EB"/>
    <w:rsid w:val="3E170DF5"/>
    <w:rsid w:val="3E1848B3"/>
    <w:rsid w:val="3E262F65"/>
    <w:rsid w:val="3E641078"/>
    <w:rsid w:val="3E850107"/>
    <w:rsid w:val="3E8A1ECE"/>
    <w:rsid w:val="3E9576B5"/>
    <w:rsid w:val="3E97336E"/>
    <w:rsid w:val="3EB111C3"/>
    <w:rsid w:val="3EB2178F"/>
    <w:rsid w:val="3EBF2C3F"/>
    <w:rsid w:val="3ECF1AC3"/>
    <w:rsid w:val="3EEC1082"/>
    <w:rsid w:val="3EF85808"/>
    <w:rsid w:val="3F0447E2"/>
    <w:rsid w:val="3F097277"/>
    <w:rsid w:val="3F2C63BF"/>
    <w:rsid w:val="3F3E37D2"/>
    <w:rsid w:val="3F4938AA"/>
    <w:rsid w:val="3F5C074A"/>
    <w:rsid w:val="3F5F3481"/>
    <w:rsid w:val="3F714C8C"/>
    <w:rsid w:val="3F735E50"/>
    <w:rsid w:val="3F881770"/>
    <w:rsid w:val="3F896196"/>
    <w:rsid w:val="3F8A1D44"/>
    <w:rsid w:val="3F8A6CC0"/>
    <w:rsid w:val="3F8E18AD"/>
    <w:rsid w:val="3F921270"/>
    <w:rsid w:val="3F9C14D2"/>
    <w:rsid w:val="3F9F3FDA"/>
    <w:rsid w:val="3FA37080"/>
    <w:rsid w:val="3FAC53AA"/>
    <w:rsid w:val="3FAE6818"/>
    <w:rsid w:val="3FB66CEC"/>
    <w:rsid w:val="3FB97198"/>
    <w:rsid w:val="3FC318E9"/>
    <w:rsid w:val="3FC73A5A"/>
    <w:rsid w:val="3FCB49C1"/>
    <w:rsid w:val="3FD51A17"/>
    <w:rsid w:val="3FD86321"/>
    <w:rsid w:val="3FD97187"/>
    <w:rsid w:val="3FDC6276"/>
    <w:rsid w:val="3FE1726F"/>
    <w:rsid w:val="40045920"/>
    <w:rsid w:val="400466AD"/>
    <w:rsid w:val="4010692D"/>
    <w:rsid w:val="401B18E4"/>
    <w:rsid w:val="401C4846"/>
    <w:rsid w:val="401F0CEF"/>
    <w:rsid w:val="402037C0"/>
    <w:rsid w:val="40233308"/>
    <w:rsid w:val="402F040C"/>
    <w:rsid w:val="40377D4C"/>
    <w:rsid w:val="40533B4D"/>
    <w:rsid w:val="405771F1"/>
    <w:rsid w:val="405870FE"/>
    <w:rsid w:val="406015F4"/>
    <w:rsid w:val="406C4737"/>
    <w:rsid w:val="407476DE"/>
    <w:rsid w:val="40766929"/>
    <w:rsid w:val="407A40FD"/>
    <w:rsid w:val="4080576E"/>
    <w:rsid w:val="40893796"/>
    <w:rsid w:val="40906DF3"/>
    <w:rsid w:val="40AD132D"/>
    <w:rsid w:val="40B54C67"/>
    <w:rsid w:val="40C506C7"/>
    <w:rsid w:val="40C65F0F"/>
    <w:rsid w:val="40D72694"/>
    <w:rsid w:val="40DC2E89"/>
    <w:rsid w:val="40E0439C"/>
    <w:rsid w:val="40E4448E"/>
    <w:rsid w:val="40E5537B"/>
    <w:rsid w:val="40EE2BA1"/>
    <w:rsid w:val="40FD20E7"/>
    <w:rsid w:val="41030B84"/>
    <w:rsid w:val="41112DCA"/>
    <w:rsid w:val="411B0988"/>
    <w:rsid w:val="411B368C"/>
    <w:rsid w:val="412D342E"/>
    <w:rsid w:val="413D1A37"/>
    <w:rsid w:val="41461B2E"/>
    <w:rsid w:val="415167C3"/>
    <w:rsid w:val="415338FD"/>
    <w:rsid w:val="415D727E"/>
    <w:rsid w:val="41693B28"/>
    <w:rsid w:val="41950A42"/>
    <w:rsid w:val="41C464E3"/>
    <w:rsid w:val="41F04D45"/>
    <w:rsid w:val="41F70554"/>
    <w:rsid w:val="420A3C75"/>
    <w:rsid w:val="421A1387"/>
    <w:rsid w:val="42257A34"/>
    <w:rsid w:val="42336FCE"/>
    <w:rsid w:val="423474E7"/>
    <w:rsid w:val="4237794D"/>
    <w:rsid w:val="42391EB8"/>
    <w:rsid w:val="4246579C"/>
    <w:rsid w:val="4249046A"/>
    <w:rsid w:val="424F5315"/>
    <w:rsid w:val="42500680"/>
    <w:rsid w:val="42692CB3"/>
    <w:rsid w:val="42717798"/>
    <w:rsid w:val="427270C5"/>
    <w:rsid w:val="427544CD"/>
    <w:rsid w:val="427670F9"/>
    <w:rsid w:val="428D56E4"/>
    <w:rsid w:val="429D7AF9"/>
    <w:rsid w:val="42A673AB"/>
    <w:rsid w:val="42BD09B0"/>
    <w:rsid w:val="42D32DB4"/>
    <w:rsid w:val="42EA7B6D"/>
    <w:rsid w:val="42EF2A47"/>
    <w:rsid w:val="42F94319"/>
    <w:rsid w:val="430010F7"/>
    <w:rsid w:val="4304243D"/>
    <w:rsid w:val="43165A4C"/>
    <w:rsid w:val="43251C33"/>
    <w:rsid w:val="432E482D"/>
    <w:rsid w:val="43417AD7"/>
    <w:rsid w:val="4345663D"/>
    <w:rsid w:val="4346178C"/>
    <w:rsid w:val="43461BA6"/>
    <w:rsid w:val="434B764D"/>
    <w:rsid w:val="43524C6E"/>
    <w:rsid w:val="43556CA8"/>
    <w:rsid w:val="435976FA"/>
    <w:rsid w:val="435F3011"/>
    <w:rsid w:val="435F37E3"/>
    <w:rsid w:val="438443EA"/>
    <w:rsid w:val="43913AE1"/>
    <w:rsid w:val="43916D79"/>
    <w:rsid w:val="43934691"/>
    <w:rsid w:val="43984AF5"/>
    <w:rsid w:val="439F4412"/>
    <w:rsid w:val="43AE6077"/>
    <w:rsid w:val="43B04E2F"/>
    <w:rsid w:val="43B656F6"/>
    <w:rsid w:val="43C76411"/>
    <w:rsid w:val="43CE796A"/>
    <w:rsid w:val="43D16039"/>
    <w:rsid w:val="43DB7FF1"/>
    <w:rsid w:val="43E60D3A"/>
    <w:rsid w:val="43EB637B"/>
    <w:rsid w:val="43FD7641"/>
    <w:rsid w:val="44052057"/>
    <w:rsid w:val="44150BBE"/>
    <w:rsid w:val="44186EDA"/>
    <w:rsid w:val="44295396"/>
    <w:rsid w:val="443476A8"/>
    <w:rsid w:val="44374A9A"/>
    <w:rsid w:val="444040EF"/>
    <w:rsid w:val="44407C04"/>
    <w:rsid w:val="444C0E63"/>
    <w:rsid w:val="446068C4"/>
    <w:rsid w:val="44625B74"/>
    <w:rsid w:val="4464552C"/>
    <w:rsid w:val="446B5183"/>
    <w:rsid w:val="447641C0"/>
    <w:rsid w:val="448265EA"/>
    <w:rsid w:val="448D6A14"/>
    <w:rsid w:val="44A66E36"/>
    <w:rsid w:val="44B323CC"/>
    <w:rsid w:val="44BB6B03"/>
    <w:rsid w:val="44BE1624"/>
    <w:rsid w:val="44C66C00"/>
    <w:rsid w:val="44C9443B"/>
    <w:rsid w:val="44D05358"/>
    <w:rsid w:val="44DE6A26"/>
    <w:rsid w:val="45052253"/>
    <w:rsid w:val="450B05FD"/>
    <w:rsid w:val="450B173A"/>
    <w:rsid w:val="45255257"/>
    <w:rsid w:val="452D4703"/>
    <w:rsid w:val="454110D2"/>
    <w:rsid w:val="45503861"/>
    <w:rsid w:val="455E0659"/>
    <w:rsid w:val="45660A65"/>
    <w:rsid w:val="45670FE2"/>
    <w:rsid w:val="456E7F32"/>
    <w:rsid w:val="45A15AC1"/>
    <w:rsid w:val="45A71BF6"/>
    <w:rsid w:val="45A82DDB"/>
    <w:rsid w:val="45BB584A"/>
    <w:rsid w:val="45E077E5"/>
    <w:rsid w:val="45E74A22"/>
    <w:rsid w:val="45F87A53"/>
    <w:rsid w:val="45FB0607"/>
    <w:rsid w:val="4603501C"/>
    <w:rsid w:val="46060BB8"/>
    <w:rsid w:val="461619EC"/>
    <w:rsid w:val="46176777"/>
    <w:rsid w:val="46263CBC"/>
    <w:rsid w:val="46504019"/>
    <w:rsid w:val="465B7857"/>
    <w:rsid w:val="466A6667"/>
    <w:rsid w:val="466B53E8"/>
    <w:rsid w:val="46780B12"/>
    <w:rsid w:val="467C5FB6"/>
    <w:rsid w:val="467D56A7"/>
    <w:rsid w:val="4689467B"/>
    <w:rsid w:val="46B80DD7"/>
    <w:rsid w:val="46BA01A2"/>
    <w:rsid w:val="46C378A9"/>
    <w:rsid w:val="46C95E56"/>
    <w:rsid w:val="46CF0804"/>
    <w:rsid w:val="46D47681"/>
    <w:rsid w:val="46D75D58"/>
    <w:rsid w:val="46E76E7C"/>
    <w:rsid w:val="46EB196F"/>
    <w:rsid w:val="46EC1692"/>
    <w:rsid w:val="46FA065D"/>
    <w:rsid w:val="46FC1ABA"/>
    <w:rsid w:val="470E5557"/>
    <w:rsid w:val="470F6CF9"/>
    <w:rsid w:val="47182D49"/>
    <w:rsid w:val="471E230F"/>
    <w:rsid w:val="47212456"/>
    <w:rsid w:val="472128FF"/>
    <w:rsid w:val="474907C0"/>
    <w:rsid w:val="476F1757"/>
    <w:rsid w:val="47803205"/>
    <w:rsid w:val="479C1295"/>
    <w:rsid w:val="47AD1FFA"/>
    <w:rsid w:val="47B453C2"/>
    <w:rsid w:val="47BD7771"/>
    <w:rsid w:val="47C05323"/>
    <w:rsid w:val="47D474ED"/>
    <w:rsid w:val="47D97FDF"/>
    <w:rsid w:val="47E62E4F"/>
    <w:rsid w:val="47EE7AB4"/>
    <w:rsid w:val="48037516"/>
    <w:rsid w:val="48074631"/>
    <w:rsid w:val="48162DA0"/>
    <w:rsid w:val="48186618"/>
    <w:rsid w:val="482461E0"/>
    <w:rsid w:val="484671D5"/>
    <w:rsid w:val="484A6412"/>
    <w:rsid w:val="484B2898"/>
    <w:rsid w:val="48643C99"/>
    <w:rsid w:val="486817F7"/>
    <w:rsid w:val="487A60A5"/>
    <w:rsid w:val="487C411C"/>
    <w:rsid w:val="48890B48"/>
    <w:rsid w:val="488A0C0E"/>
    <w:rsid w:val="489043FF"/>
    <w:rsid w:val="48962CDD"/>
    <w:rsid w:val="489A75EE"/>
    <w:rsid w:val="489C3A18"/>
    <w:rsid w:val="48C51028"/>
    <w:rsid w:val="48CD5E3F"/>
    <w:rsid w:val="48F53E82"/>
    <w:rsid w:val="48F97070"/>
    <w:rsid w:val="48F97F26"/>
    <w:rsid w:val="48FD6371"/>
    <w:rsid w:val="490B0E32"/>
    <w:rsid w:val="490E244D"/>
    <w:rsid w:val="49185B4D"/>
    <w:rsid w:val="491B105B"/>
    <w:rsid w:val="491E183B"/>
    <w:rsid w:val="492B1542"/>
    <w:rsid w:val="492D2D1C"/>
    <w:rsid w:val="493058AE"/>
    <w:rsid w:val="49324375"/>
    <w:rsid w:val="4934221A"/>
    <w:rsid w:val="49400A61"/>
    <w:rsid w:val="494B2863"/>
    <w:rsid w:val="49600F64"/>
    <w:rsid w:val="49601800"/>
    <w:rsid w:val="49626268"/>
    <w:rsid w:val="49936F3D"/>
    <w:rsid w:val="49975948"/>
    <w:rsid w:val="499E20BE"/>
    <w:rsid w:val="49A8228C"/>
    <w:rsid w:val="49AC7D10"/>
    <w:rsid w:val="49B96FA4"/>
    <w:rsid w:val="49CA580A"/>
    <w:rsid w:val="49E52F74"/>
    <w:rsid w:val="49F56ED0"/>
    <w:rsid w:val="49F73C5E"/>
    <w:rsid w:val="4A014263"/>
    <w:rsid w:val="4A171717"/>
    <w:rsid w:val="4A272A34"/>
    <w:rsid w:val="4A2840DE"/>
    <w:rsid w:val="4A2952F2"/>
    <w:rsid w:val="4A2D06A7"/>
    <w:rsid w:val="4A2F490D"/>
    <w:rsid w:val="4A3D2CF5"/>
    <w:rsid w:val="4A4E17F9"/>
    <w:rsid w:val="4A6C2BE9"/>
    <w:rsid w:val="4A7457BB"/>
    <w:rsid w:val="4A8B5988"/>
    <w:rsid w:val="4A97574B"/>
    <w:rsid w:val="4AE208E9"/>
    <w:rsid w:val="4AF6687A"/>
    <w:rsid w:val="4AFE07B6"/>
    <w:rsid w:val="4B093664"/>
    <w:rsid w:val="4B1554DB"/>
    <w:rsid w:val="4B316EB4"/>
    <w:rsid w:val="4B3310CC"/>
    <w:rsid w:val="4B3935AB"/>
    <w:rsid w:val="4B47526A"/>
    <w:rsid w:val="4B4C1804"/>
    <w:rsid w:val="4B4E6880"/>
    <w:rsid w:val="4B514818"/>
    <w:rsid w:val="4B5701E8"/>
    <w:rsid w:val="4B7D2A1E"/>
    <w:rsid w:val="4B8248FA"/>
    <w:rsid w:val="4B961846"/>
    <w:rsid w:val="4B9C2EDB"/>
    <w:rsid w:val="4B9C5328"/>
    <w:rsid w:val="4BA21B5B"/>
    <w:rsid w:val="4BD652E6"/>
    <w:rsid w:val="4BE20443"/>
    <w:rsid w:val="4BE84107"/>
    <w:rsid w:val="4BF97BAA"/>
    <w:rsid w:val="4BFA2262"/>
    <w:rsid w:val="4C09181F"/>
    <w:rsid w:val="4C17256A"/>
    <w:rsid w:val="4C211D03"/>
    <w:rsid w:val="4C261C2D"/>
    <w:rsid w:val="4C686972"/>
    <w:rsid w:val="4C6D4EC1"/>
    <w:rsid w:val="4CA2373E"/>
    <w:rsid w:val="4CA61F84"/>
    <w:rsid w:val="4CA82373"/>
    <w:rsid w:val="4CAF6339"/>
    <w:rsid w:val="4CB370AA"/>
    <w:rsid w:val="4CBB1957"/>
    <w:rsid w:val="4CBF0B91"/>
    <w:rsid w:val="4CC42CFE"/>
    <w:rsid w:val="4CCF3CD1"/>
    <w:rsid w:val="4CD24FEE"/>
    <w:rsid w:val="4CDD40CE"/>
    <w:rsid w:val="4CEF1B93"/>
    <w:rsid w:val="4CEF30E7"/>
    <w:rsid w:val="4CF5334A"/>
    <w:rsid w:val="4CFC1FA6"/>
    <w:rsid w:val="4CFF3F46"/>
    <w:rsid w:val="4D10188D"/>
    <w:rsid w:val="4D170BC3"/>
    <w:rsid w:val="4D1962B6"/>
    <w:rsid w:val="4D1D799F"/>
    <w:rsid w:val="4D37343E"/>
    <w:rsid w:val="4D3B6989"/>
    <w:rsid w:val="4D3B765F"/>
    <w:rsid w:val="4D413B94"/>
    <w:rsid w:val="4D424A02"/>
    <w:rsid w:val="4D4A1120"/>
    <w:rsid w:val="4D4B7539"/>
    <w:rsid w:val="4D517735"/>
    <w:rsid w:val="4D7E15A6"/>
    <w:rsid w:val="4D90748E"/>
    <w:rsid w:val="4D990F58"/>
    <w:rsid w:val="4DA539D7"/>
    <w:rsid w:val="4DB32170"/>
    <w:rsid w:val="4DB63613"/>
    <w:rsid w:val="4DB97C4E"/>
    <w:rsid w:val="4DBE18D5"/>
    <w:rsid w:val="4DC33C9E"/>
    <w:rsid w:val="4DF51AD6"/>
    <w:rsid w:val="4DFE63A5"/>
    <w:rsid w:val="4E08775E"/>
    <w:rsid w:val="4E092A3C"/>
    <w:rsid w:val="4E0E55F2"/>
    <w:rsid w:val="4E2468DC"/>
    <w:rsid w:val="4E2C3BE2"/>
    <w:rsid w:val="4E33437E"/>
    <w:rsid w:val="4E3E04FC"/>
    <w:rsid w:val="4E4400BF"/>
    <w:rsid w:val="4E4404DA"/>
    <w:rsid w:val="4E551FC6"/>
    <w:rsid w:val="4E5D58CB"/>
    <w:rsid w:val="4E6132E5"/>
    <w:rsid w:val="4E6C21A0"/>
    <w:rsid w:val="4E796CF5"/>
    <w:rsid w:val="4E7C214D"/>
    <w:rsid w:val="4E96424C"/>
    <w:rsid w:val="4EB935A8"/>
    <w:rsid w:val="4EBA5A94"/>
    <w:rsid w:val="4ECC50AF"/>
    <w:rsid w:val="4ECE1B5E"/>
    <w:rsid w:val="4ED546D7"/>
    <w:rsid w:val="4EEA17E2"/>
    <w:rsid w:val="4EF37974"/>
    <w:rsid w:val="4F044E82"/>
    <w:rsid w:val="4F082D30"/>
    <w:rsid w:val="4F1666B8"/>
    <w:rsid w:val="4F3A3D82"/>
    <w:rsid w:val="4F55567E"/>
    <w:rsid w:val="4F5F1B34"/>
    <w:rsid w:val="4F646597"/>
    <w:rsid w:val="4F666345"/>
    <w:rsid w:val="4F6F5FDA"/>
    <w:rsid w:val="4F704987"/>
    <w:rsid w:val="4F7B4D3B"/>
    <w:rsid w:val="4F7F4EBD"/>
    <w:rsid w:val="4F81258E"/>
    <w:rsid w:val="4F912798"/>
    <w:rsid w:val="4F9906D8"/>
    <w:rsid w:val="4FA361BC"/>
    <w:rsid w:val="4FB91FC2"/>
    <w:rsid w:val="4FCE7708"/>
    <w:rsid w:val="4FD875AD"/>
    <w:rsid w:val="4FDE3FD8"/>
    <w:rsid w:val="4FED5FB8"/>
    <w:rsid w:val="4FF43AAC"/>
    <w:rsid w:val="4FF66F1B"/>
    <w:rsid w:val="4FF84EFB"/>
    <w:rsid w:val="50170CCD"/>
    <w:rsid w:val="50231B77"/>
    <w:rsid w:val="50256675"/>
    <w:rsid w:val="50256B03"/>
    <w:rsid w:val="5029160A"/>
    <w:rsid w:val="503F59CB"/>
    <w:rsid w:val="5041786C"/>
    <w:rsid w:val="50467470"/>
    <w:rsid w:val="50582A8C"/>
    <w:rsid w:val="507154D4"/>
    <w:rsid w:val="5071553E"/>
    <w:rsid w:val="50786955"/>
    <w:rsid w:val="507B47B5"/>
    <w:rsid w:val="50863633"/>
    <w:rsid w:val="50871F10"/>
    <w:rsid w:val="5090467D"/>
    <w:rsid w:val="509E65A0"/>
    <w:rsid w:val="50AE4611"/>
    <w:rsid w:val="50B3650B"/>
    <w:rsid w:val="50B575A5"/>
    <w:rsid w:val="50CB23FC"/>
    <w:rsid w:val="50E33C7D"/>
    <w:rsid w:val="50E85A0C"/>
    <w:rsid w:val="50FA731B"/>
    <w:rsid w:val="510617C4"/>
    <w:rsid w:val="51090D37"/>
    <w:rsid w:val="51184F9B"/>
    <w:rsid w:val="51296463"/>
    <w:rsid w:val="512C4D34"/>
    <w:rsid w:val="512E20A5"/>
    <w:rsid w:val="512E40B3"/>
    <w:rsid w:val="51305727"/>
    <w:rsid w:val="514B091C"/>
    <w:rsid w:val="515E25DC"/>
    <w:rsid w:val="51610E60"/>
    <w:rsid w:val="51643822"/>
    <w:rsid w:val="5178381D"/>
    <w:rsid w:val="51896AF0"/>
    <w:rsid w:val="519F33A9"/>
    <w:rsid w:val="51A618BF"/>
    <w:rsid w:val="51AA777F"/>
    <w:rsid w:val="51CD34E7"/>
    <w:rsid w:val="51E10182"/>
    <w:rsid w:val="51F017FF"/>
    <w:rsid w:val="52172EDC"/>
    <w:rsid w:val="522A32C7"/>
    <w:rsid w:val="522F23E0"/>
    <w:rsid w:val="52376A37"/>
    <w:rsid w:val="525B7CA8"/>
    <w:rsid w:val="52601385"/>
    <w:rsid w:val="52801034"/>
    <w:rsid w:val="5282209B"/>
    <w:rsid w:val="528656E4"/>
    <w:rsid w:val="528D37EF"/>
    <w:rsid w:val="52A81BB0"/>
    <w:rsid w:val="52AE2176"/>
    <w:rsid w:val="52B6154C"/>
    <w:rsid w:val="52DF3076"/>
    <w:rsid w:val="52EC270F"/>
    <w:rsid w:val="52F94D1F"/>
    <w:rsid w:val="52F96AA3"/>
    <w:rsid w:val="52FC4B82"/>
    <w:rsid w:val="53135ACA"/>
    <w:rsid w:val="531A0E32"/>
    <w:rsid w:val="532D408D"/>
    <w:rsid w:val="53326415"/>
    <w:rsid w:val="533E15B7"/>
    <w:rsid w:val="534E1FA6"/>
    <w:rsid w:val="535B233B"/>
    <w:rsid w:val="5360744B"/>
    <w:rsid w:val="536A1066"/>
    <w:rsid w:val="537257B9"/>
    <w:rsid w:val="537B17CA"/>
    <w:rsid w:val="537F752F"/>
    <w:rsid w:val="53953B3E"/>
    <w:rsid w:val="539D52B0"/>
    <w:rsid w:val="539E5116"/>
    <w:rsid w:val="53A70B03"/>
    <w:rsid w:val="53AA4EAE"/>
    <w:rsid w:val="53B81D00"/>
    <w:rsid w:val="53BE1B57"/>
    <w:rsid w:val="53C87C82"/>
    <w:rsid w:val="53D84EB1"/>
    <w:rsid w:val="53E80570"/>
    <w:rsid w:val="53E96D9C"/>
    <w:rsid w:val="53FB0FA8"/>
    <w:rsid w:val="54041F40"/>
    <w:rsid w:val="54083EF6"/>
    <w:rsid w:val="54150CF5"/>
    <w:rsid w:val="542775C1"/>
    <w:rsid w:val="543077FD"/>
    <w:rsid w:val="543E2538"/>
    <w:rsid w:val="54411CFC"/>
    <w:rsid w:val="54601CE7"/>
    <w:rsid w:val="54602B7C"/>
    <w:rsid w:val="546F5632"/>
    <w:rsid w:val="54753C2F"/>
    <w:rsid w:val="547A36C1"/>
    <w:rsid w:val="54BC02E1"/>
    <w:rsid w:val="54C00B9B"/>
    <w:rsid w:val="54C65B06"/>
    <w:rsid w:val="54D04AAA"/>
    <w:rsid w:val="54D15B8B"/>
    <w:rsid w:val="54E853AA"/>
    <w:rsid w:val="54EA526B"/>
    <w:rsid w:val="54EC16AB"/>
    <w:rsid w:val="54FC461B"/>
    <w:rsid w:val="55034741"/>
    <w:rsid w:val="550524D1"/>
    <w:rsid w:val="550609C9"/>
    <w:rsid w:val="551061B9"/>
    <w:rsid w:val="55145CE9"/>
    <w:rsid w:val="551534A5"/>
    <w:rsid w:val="551B12EB"/>
    <w:rsid w:val="5525630D"/>
    <w:rsid w:val="553638B6"/>
    <w:rsid w:val="55392803"/>
    <w:rsid w:val="553E64FB"/>
    <w:rsid w:val="554852E6"/>
    <w:rsid w:val="554B5DD1"/>
    <w:rsid w:val="555C7D86"/>
    <w:rsid w:val="55626198"/>
    <w:rsid w:val="55856EA6"/>
    <w:rsid w:val="5599177A"/>
    <w:rsid w:val="55A41C2D"/>
    <w:rsid w:val="55A53D1A"/>
    <w:rsid w:val="55A66151"/>
    <w:rsid w:val="55B0168D"/>
    <w:rsid w:val="55B85E98"/>
    <w:rsid w:val="55D12AAC"/>
    <w:rsid w:val="55E83D9A"/>
    <w:rsid w:val="55F649F8"/>
    <w:rsid w:val="55FA4F77"/>
    <w:rsid w:val="55FB06E7"/>
    <w:rsid w:val="563A0964"/>
    <w:rsid w:val="56401CAD"/>
    <w:rsid w:val="564B3782"/>
    <w:rsid w:val="564D1227"/>
    <w:rsid w:val="565B2DFC"/>
    <w:rsid w:val="56644F18"/>
    <w:rsid w:val="566860CE"/>
    <w:rsid w:val="56782A25"/>
    <w:rsid w:val="567962A6"/>
    <w:rsid w:val="56913F48"/>
    <w:rsid w:val="56982E58"/>
    <w:rsid w:val="56A94062"/>
    <w:rsid w:val="56B47341"/>
    <w:rsid w:val="56B7008C"/>
    <w:rsid w:val="56D253E5"/>
    <w:rsid w:val="56D26959"/>
    <w:rsid w:val="56D41930"/>
    <w:rsid w:val="56EA7E02"/>
    <w:rsid w:val="56F06442"/>
    <w:rsid w:val="56F12814"/>
    <w:rsid w:val="56F44F85"/>
    <w:rsid w:val="570B3C83"/>
    <w:rsid w:val="570C01A3"/>
    <w:rsid w:val="572D406F"/>
    <w:rsid w:val="57315742"/>
    <w:rsid w:val="57427529"/>
    <w:rsid w:val="57473833"/>
    <w:rsid w:val="57482C63"/>
    <w:rsid w:val="57594939"/>
    <w:rsid w:val="575F3E61"/>
    <w:rsid w:val="57646AFD"/>
    <w:rsid w:val="576611C2"/>
    <w:rsid w:val="577913F6"/>
    <w:rsid w:val="5782220F"/>
    <w:rsid w:val="5788089F"/>
    <w:rsid w:val="57967F25"/>
    <w:rsid w:val="579E7860"/>
    <w:rsid w:val="57B06459"/>
    <w:rsid w:val="57B75755"/>
    <w:rsid w:val="57BC65FE"/>
    <w:rsid w:val="57C7643C"/>
    <w:rsid w:val="57D32EEB"/>
    <w:rsid w:val="57E33067"/>
    <w:rsid w:val="57F97146"/>
    <w:rsid w:val="58077C32"/>
    <w:rsid w:val="58170AF7"/>
    <w:rsid w:val="58203632"/>
    <w:rsid w:val="582453CB"/>
    <w:rsid w:val="58326254"/>
    <w:rsid w:val="58387FF5"/>
    <w:rsid w:val="583D2E8E"/>
    <w:rsid w:val="584D54CF"/>
    <w:rsid w:val="584D77C2"/>
    <w:rsid w:val="58580F02"/>
    <w:rsid w:val="585B341E"/>
    <w:rsid w:val="585F0B9F"/>
    <w:rsid w:val="587D3C3B"/>
    <w:rsid w:val="588530C5"/>
    <w:rsid w:val="588F44ED"/>
    <w:rsid w:val="58B354B5"/>
    <w:rsid w:val="58C32615"/>
    <w:rsid w:val="58C44C10"/>
    <w:rsid w:val="58C51CE6"/>
    <w:rsid w:val="58C670A7"/>
    <w:rsid w:val="58D335D1"/>
    <w:rsid w:val="58E870A7"/>
    <w:rsid w:val="58EE7E94"/>
    <w:rsid w:val="58F41DBE"/>
    <w:rsid w:val="591532EA"/>
    <w:rsid w:val="592270DA"/>
    <w:rsid w:val="592F42AD"/>
    <w:rsid w:val="5977668F"/>
    <w:rsid w:val="597C152F"/>
    <w:rsid w:val="598E4F13"/>
    <w:rsid w:val="599F44E3"/>
    <w:rsid w:val="59A33B54"/>
    <w:rsid w:val="59AB2AD7"/>
    <w:rsid w:val="59C251E8"/>
    <w:rsid w:val="59D74320"/>
    <w:rsid w:val="59DA0941"/>
    <w:rsid w:val="59ED3BD9"/>
    <w:rsid w:val="5A106BAE"/>
    <w:rsid w:val="5A2002CB"/>
    <w:rsid w:val="5A2268E1"/>
    <w:rsid w:val="5A2A06F6"/>
    <w:rsid w:val="5A2E43D3"/>
    <w:rsid w:val="5A340C4A"/>
    <w:rsid w:val="5A3B16C9"/>
    <w:rsid w:val="5A426669"/>
    <w:rsid w:val="5A4D57AE"/>
    <w:rsid w:val="5A5844E3"/>
    <w:rsid w:val="5A880C56"/>
    <w:rsid w:val="5A925FE9"/>
    <w:rsid w:val="5AAF6898"/>
    <w:rsid w:val="5AB02A29"/>
    <w:rsid w:val="5AB14B4E"/>
    <w:rsid w:val="5AB245AD"/>
    <w:rsid w:val="5ABF465C"/>
    <w:rsid w:val="5AC75F85"/>
    <w:rsid w:val="5AE601BB"/>
    <w:rsid w:val="5AF021DB"/>
    <w:rsid w:val="5AF34490"/>
    <w:rsid w:val="5B006186"/>
    <w:rsid w:val="5B017A46"/>
    <w:rsid w:val="5B07308F"/>
    <w:rsid w:val="5B1434BC"/>
    <w:rsid w:val="5B174882"/>
    <w:rsid w:val="5B1F3797"/>
    <w:rsid w:val="5B2031F2"/>
    <w:rsid w:val="5B2A3E31"/>
    <w:rsid w:val="5B446754"/>
    <w:rsid w:val="5B595F88"/>
    <w:rsid w:val="5B6A6366"/>
    <w:rsid w:val="5B7F5648"/>
    <w:rsid w:val="5B83542B"/>
    <w:rsid w:val="5BA175BE"/>
    <w:rsid w:val="5BA27758"/>
    <w:rsid w:val="5BB6213A"/>
    <w:rsid w:val="5BD36320"/>
    <w:rsid w:val="5BD5791F"/>
    <w:rsid w:val="5BF00230"/>
    <w:rsid w:val="5C094BC6"/>
    <w:rsid w:val="5C13403C"/>
    <w:rsid w:val="5C1463AD"/>
    <w:rsid w:val="5C21370D"/>
    <w:rsid w:val="5C263176"/>
    <w:rsid w:val="5C323311"/>
    <w:rsid w:val="5C3C32D1"/>
    <w:rsid w:val="5C4946A3"/>
    <w:rsid w:val="5C4B4000"/>
    <w:rsid w:val="5C6045D0"/>
    <w:rsid w:val="5C6C0BFC"/>
    <w:rsid w:val="5C7D4918"/>
    <w:rsid w:val="5C7D729E"/>
    <w:rsid w:val="5C921D2A"/>
    <w:rsid w:val="5C977DAF"/>
    <w:rsid w:val="5CA628C0"/>
    <w:rsid w:val="5CA71FDC"/>
    <w:rsid w:val="5CB34516"/>
    <w:rsid w:val="5CB727F8"/>
    <w:rsid w:val="5CBB6EC0"/>
    <w:rsid w:val="5CC12D02"/>
    <w:rsid w:val="5CDE112D"/>
    <w:rsid w:val="5CF06754"/>
    <w:rsid w:val="5D00356E"/>
    <w:rsid w:val="5D0B791C"/>
    <w:rsid w:val="5D15698A"/>
    <w:rsid w:val="5D166089"/>
    <w:rsid w:val="5D18209C"/>
    <w:rsid w:val="5D4D734B"/>
    <w:rsid w:val="5D500AA1"/>
    <w:rsid w:val="5D541E25"/>
    <w:rsid w:val="5D6346BC"/>
    <w:rsid w:val="5D7117A2"/>
    <w:rsid w:val="5D7D0F01"/>
    <w:rsid w:val="5D832588"/>
    <w:rsid w:val="5D857D50"/>
    <w:rsid w:val="5D8653AF"/>
    <w:rsid w:val="5D924491"/>
    <w:rsid w:val="5D9E113F"/>
    <w:rsid w:val="5DA31A46"/>
    <w:rsid w:val="5DBC507F"/>
    <w:rsid w:val="5DC924AE"/>
    <w:rsid w:val="5DCE19C4"/>
    <w:rsid w:val="5DD01F06"/>
    <w:rsid w:val="5DD41EFB"/>
    <w:rsid w:val="5DE43381"/>
    <w:rsid w:val="5E036640"/>
    <w:rsid w:val="5E063CE8"/>
    <w:rsid w:val="5E095F4C"/>
    <w:rsid w:val="5E407DAC"/>
    <w:rsid w:val="5E4668D4"/>
    <w:rsid w:val="5E4744C3"/>
    <w:rsid w:val="5E544FCD"/>
    <w:rsid w:val="5E763EC1"/>
    <w:rsid w:val="5E9538BA"/>
    <w:rsid w:val="5EA810B0"/>
    <w:rsid w:val="5EB04D8F"/>
    <w:rsid w:val="5EB1685B"/>
    <w:rsid w:val="5EB87915"/>
    <w:rsid w:val="5EC36F4F"/>
    <w:rsid w:val="5EE30D93"/>
    <w:rsid w:val="5EEB2F61"/>
    <w:rsid w:val="5EFD1A0A"/>
    <w:rsid w:val="5EFE5FFF"/>
    <w:rsid w:val="5F0F0CDC"/>
    <w:rsid w:val="5F0F62CC"/>
    <w:rsid w:val="5F296263"/>
    <w:rsid w:val="5F446367"/>
    <w:rsid w:val="5F635B80"/>
    <w:rsid w:val="5F707C99"/>
    <w:rsid w:val="5F8E799C"/>
    <w:rsid w:val="5F94220B"/>
    <w:rsid w:val="5F954DD6"/>
    <w:rsid w:val="5FA37D16"/>
    <w:rsid w:val="5FA4414C"/>
    <w:rsid w:val="5FA90B87"/>
    <w:rsid w:val="5FBB579C"/>
    <w:rsid w:val="5FC70225"/>
    <w:rsid w:val="5FE14165"/>
    <w:rsid w:val="5FF354F3"/>
    <w:rsid w:val="600322C2"/>
    <w:rsid w:val="60122152"/>
    <w:rsid w:val="60174B30"/>
    <w:rsid w:val="601B5B25"/>
    <w:rsid w:val="601D0144"/>
    <w:rsid w:val="60355ED2"/>
    <w:rsid w:val="60377817"/>
    <w:rsid w:val="60397C31"/>
    <w:rsid w:val="60774A16"/>
    <w:rsid w:val="60812176"/>
    <w:rsid w:val="60832830"/>
    <w:rsid w:val="60AF76D8"/>
    <w:rsid w:val="60B97192"/>
    <w:rsid w:val="60C90E08"/>
    <w:rsid w:val="60D40B24"/>
    <w:rsid w:val="60D8067C"/>
    <w:rsid w:val="60D93D3A"/>
    <w:rsid w:val="60ED6BE5"/>
    <w:rsid w:val="60EF33A7"/>
    <w:rsid w:val="60F919CD"/>
    <w:rsid w:val="60FA7C41"/>
    <w:rsid w:val="611D5368"/>
    <w:rsid w:val="611E4636"/>
    <w:rsid w:val="61211F71"/>
    <w:rsid w:val="61221F2C"/>
    <w:rsid w:val="613218A9"/>
    <w:rsid w:val="613355FB"/>
    <w:rsid w:val="6137687A"/>
    <w:rsid w:val="6138315A"/>
    <w:rsid w:val="61423C81"/>
    <w:rsid w:val="61442066"/>
    <w:rsid w:val="615736B4"/>
    <w:rsid w:val="61602515"/>
    <w:rsid w:val="6160656D"/>
    <w:rsid w:val="61680370"/>
    <w:rsid w:val="616D70D5"/>
    <w:rsid w:val="616F21A8"/>
    <w:rsid w:val="61700C15"/>
    <w:rsid w:val="6176450F"/>
    <w:rsid w:val="617A0A1C"/>
    <w:rsid w:val="617A50CB"/>
    <w:rsid w:val="61B2033D"/>
    <w:rsid w:val="61BF3E9B"/>
    <w:rsid w:val="61CF53F7"/>
    <w:rsid w:val="61F9593B"/>
    <w:rsid w:val="620A61E3"/>
    <w:rsid w:val="62117328"/>
    <w:rsid w:val="6216773D"/>
    <w:rsid w:val="621968FD"/>
    <w:rsid w:val="621C28D2"/>
    <w:rsid w:val="62203B7A"/>
    <w:rsid w:val="62354982"/>
    <w:rsid w:val="623E6BE8"/>
    <w:rsid w:val="624E1C4A"/>
    <w:rsid w:val="624F3EAC"/>
    <w:rsid w:val="625B5004"/>
    <w:rsid w:val="62757A6E"/>
    <w:rsid w:val="627E2725"/>
    <w:rsid w:val="629E046C"/>
    <w:rsid w:val="62A026EB"/>
    <w:rsid w:val="62A83222"/>
    <w:rsid w:val="62AC1D2B"/>
    <w:rsid w:val="62B102FE"/>
    <w:rsid w:val="62C23031"/>
    <w:rsid w:val="62C437B5"/>
    <w:rsid w:val="62CA1726"/>
    <w:rsid w:val="62DA49BE"/>
    <w:rsid w:val="62EC0210"/>
    <w:rsid w:val="62F938F5"/>
    <w:rsid w:val="63110A08"/>
    <w:rsid w:val="631F71C8"/>
    <w:rsid w:val="63240347"/>
    <w:rsid w:val="63260BE9"/>
    <w:rsid w:val="633E6577"/>
    <w:rsid w:val="63443E3A"/>
    <w:rsid w:val="63464DF0"/>
    <w:rsid w:val="634F089C"/>
    <w:rsid w:val="63500B80"/>
    <w:rsid w:val="63762428"/>
    <w:rsid w:val="637B22FE"/>
    <w:rsid w:val="638A00DE"/>
    <w:rsid w:val="639536AB"/>
    <w:rsid w:val="639A75F5"/>
    <w:rsid w:val="63B0400C"/>
    <w:rsid w:val="63B64F84"/>
    <w:rsid w:val="63C418BF"/>
    <w:rsid w:val="63C6265A"/>
    <w:rsid w:val="63C73869"/>
    <w:rsid w:val="63D06ED9"/>
    <w:rsid w:val="63D94AE5"/>
    <w:rsid w:val="63DC6FDD"/>
    <w:rsid w:val="63DF385B"/>
    <w:rsid w:val="63FC6ED8"/>
    <w:rsid w:val="6403594F"/>
    <w:rsid w:val="64082DCB"/>
    <w:rsid w:val="64153464"/>
    <w:rsid w:val="64185001"/>
    <w:rsid w:val="641B69B9"/>
    <w:rsid w:val="642577ED"/>
    <w:rsid w:val="642B7632"/>
    <w:rsid w:val="642E099A"/>
    <w:rsid w:val="643C048B"/>
    <w:rsid w:val="643C42F2"/>
    <w:rsid w:val="644A29D1"/>
    <w:rsid w:val="646C11AE"/>
    <w:rsid w:val="64753DF3"/>
    <w:rsid w:val="64825440"/>
    <w:rsid w:val="648662BC"/>
    <w:rsid w:val="64A206A3"/>
    <w:rsid w:val="64A65FE2"/>
    <w:rsid w:val="64BA73A2"/>
    <w:rsid w:val="64C3535C"/>
    <w:rsid w:val="64CB7D19"/>
    <w:rsid w:val="64DA586F"/>
    <w:rsid w:val="64DE0610"/>
    <w:rsid w:val="64E023C6"/>
    <w:rsid w:val="64E87A49"/>
    <w:rsid w:val="64F22897"/>
    <w:rsid w:val="64F617D4"/>
    <w:rsid w:val="64F84F36"/>
    <w:rsid w:val="64FB564B"/>
    <w:rsid w:val="651838A9"/>
    <w:rsid w:val="65232947"/>
    <w:rsid w:val="652A77E0"/>
    <w:rsid w:val="65455950"/>
    <w:rsid w:val="654D2407"/>
    <w:rsid w:val="65566AA9"/>
    <w:rsid w:val="657D06EC"/>
    <w:rsid w:val="65802817"/>
    <w:rsid w:val="65AC1F12"/>
    <w:rsid w:val="65AC430D"/>
    <w:rsid w:val="65D40949"/>
    <w:rsid w:val="65D776C2"/>
    <w:rsid w:val="660C2041"/>
    <w:rsid w:val="66164B80"/>
    <w:rsid w:val="661B38EB"/>
    <w:rsid w:val="66226318"/>
    <w:rsid w:val="66430D25"/>
    <w:rsid w:val="664F017B"/>
    <w:rsid w:val="665E7BD6"/>
    <w:rsid w:val="666052FE"/>
    <w:rsid w:val="66613EF2"/>
    <w:rsid w:val="666D0AC2"/>
    <w:rsid w:val="667777AF"/>
    <w:rsid w:val="668A4D12"/>
    <w:rsid w:val="66981562"/>
    <w:rsid w:val="669A31E7"/>
    <w:rsid w:val="66AB74AA"/>
    <w:rsid w:val="66B4035C"/>
    <w:rsid w:val="66B70833"/>
    <w:rsid w:val="66BA1DB0"/>
    <w:rsid w:val="66C36DE4"/>
    <w:rsid w:val="66CA6940"/>
    <w:rsid w:val="66D9180B"/>
    <w:rsid w:val="66DC7A6C"/>
    <w:rsid w:val="66E04A0A"/>
    <w:rsid w:val="66E21B0B"/>
    <w:rsid w:val="66F54723"/>
    <w:rsid w:val="66FA675B"/>
    <w:rsid w:val="67145CCE"/>
    <w:rsid w:val="67153421"/>
    <w:rsid w:val="67225BC4"/>
    <w:rsid w:val="672641DA"/>
    <w:rsid w:val="67283075"/>
    <w:rsid w:val="672951A4"/>
    <w:rsid w:val="672A7013"/>
    <w:rsid w:val="67484AEE"/>
    <w:rsid w:val="67612C3E"/>
    <w:rsid w:val="677B03E3"/>
    <w:rsid w:val="67865C07"/>
    <w:rsid w:val="679054F4"/>
    <w:rsid w:val="67A87966"/>
    <w:rsid w:val="67AA431B"/>
    <w:rsid w:val="67DC2FF0"/>
    <w:rsid w:val="67E15F58"/>
    <w:rsid w:val="67F302E1"/>
    <w:rsid w:val="67F72737"/>
    <w:rsid w:val="67F74A74"/>
    <w:rsid w:val="67FA482A"/>
    <w:rsid w:val="67FE0C0E"/>
    <w:rsid w:val="6806539C"/>
    <w:rsid w:val="681D27DB"/>
    <w:rsid w:val="68246C69"/>
    <w:rsid w:val="682670E6"/>
    <w:rsid w:val="68274063"/>
    <w:rsid w:val="682A793C"/>
    <w:rsid w:val="68327B68"/>
    <w:rsid w:val="68467701"/>
    <w:rsid w:val="684C5A9A"/>
    <w:rsid w:val="68501C17"/>
    <w:rsid w:val="6850270C"/>
    <w:rsid w:val="685A2FF4"/>
    <w:rsid w:val="68603CE6"/>
    <w:rsid w:val="68734E71"/>
    <w:rsid w:val="68777C0F"/>
    <w:rsid w:val="687C3660"/>
    <w:rsid w:val="68815DFE"/>
    <w:rsid w:val="688678E9"/>
    <w:rsid w:val="688C4797"/>
    <w:rsid w:val="68942DB9"/>
    <w:rsid w:val="689C08B0"/>
    <w:rsid w:val="689D6E23"/>
    <w:rsid w:val="68A05112"/>
    <w:rsid w:val="68A873C0"/>
    <w:rsid w:val="68AD4C21"/>
    <w:rsid w:val="68B011E4"/>
    <w:rsid w:val="68B272C5"/>
    <w:rsid w:val="68B935BB"/>
    <w:rsid w:val="68BA0C20"/>
    <w:rsid w:val="68C162B4"/>
    <w:rsid w:val="68C4087A"/>
    <w:rsid w:val="68C51CAC"/>
    <w:rsid w:val="68CA1187"/>
    <w:rsid w:val="68CC5602"/>
    <w:rsid w:val="68D1032C"/>
    <w:rsid w:val="68D10D26"/>
    <w:rsid w:val="68D20A18"/>
    <w:rsid w:val="68E242CD"/>
    <w:rsid w:val="68F474AC"/>
    <w:rsid w:val="68FC1A81"/>
    <w:rsid w:val="690253B2"/>
    <w:rsid w:val="69084E00"/>
    <w:rsid w:val="69166587"/>
    <w:rsid w:val="69254A25"/>
    <w:rsid w:val="692642CD"/>
    <w:rsid w:val="69277D64"/>
    <w:rsid w:val="69391E13"/>
    <w:rsid w:val="693E252C"/>
    <w:rsid w:val="693F6EFE"/>
    <w:rsid w:val="69470AC0"/>
    <w:rsid w:val="695A2D43"/>
    <w:rsid w:val="69646F96"/>
    <w:rsid w:val="69684D14"/>
    <w:rsid w:val="697B27A2"/>
    <w:rsid w:val="699633AD"/>
    <w:rsid w:val="69A80501"/>
    <w:rsid w:val="69B31977"/>
    <w:rsid w:val="69C613D1"/>
    <w:rsid w:val="69C90FC7"/>
    <w:rsid w:val="69CC0B2D"/>
    <w:rsid w:val="69DB4D1F"/>
    <w:rsid w:val="69DF7960"/>
    <w:rsid w:val="69E26367"/>
    <w:rsid w:val="69E31D6F"/>
    <w:rsid w:val="69EC3793"/>
    <w:rsid w:val="69FB050A"/>
    <w:rsid w:val="69FE196D"/>
    <w:rsid w:val="69FF5165"/>
    <w:rsid w:val="6A0D33A0"/>
    <w:rsid w:val="6A0F3BD3"/>
    <w:rsid w:val="6A1A6A30"/>
    <w:rsid w:val="6A1D0532"/>
    <w:rsid w:val="6A1F45B9"/>
    <w:rsid w:val="6A201DEA"/>
    <w:rsid w:val="6A262EAD"/>
    <w:rsid w:val="6A3454B6"/>
    <w:rsid w:val="6A3B3DEC"/>
    <w:rsid w:val="6A4C5B02"/>
    <w:rsid w:val="6A4C703A"/>
    <w:rsid w:val="6A4E7348"/>
    <w:rsid w:val="6A5D5CE5"/>
    <w:rsid w:val="6A7F39BD"/>
    <w:rsid w:val="6A9179F2"/>
    <w:rsid w:val="6AB750B2"/>
    <w:rsid w:val="6AC92C96"/>
    <w:rsid w:val="6ADF6D8A"/>
    <w:rsid w:val="6AE71602"/>
    <w:rsid w:val="6AEA7256"/>
    <w:rsid w:val="6B06367E"/>
    <w:rsid w:val="6B190D00"/>
    <w:rsid w:val="6B1920C2"/>
    <w:rsid w:val="6B2103B8"/>
    <w:rsid w:val="6B233057"/>
    <w:rsid w:val="6B2E291F"/>
    <w:rsid w:val="6B3212B5"/>
    <w:rsid w:val="6B361A79"/>
    <w:rsid w:val="6B3A51CA"/>
    <w:rsid w:val="6B3E764A"/>
    <w:rsid w:val="6B405921"/>
    <w:rsid w:val="6B4566CB"/>
    <w:rsid w:val="6B556DAC"/>
    <w:rsid w:val="6B602FCE"/>
    <w:rsid w:val="6B7770E1"/>
    <w:rsid w:val="6B7A3EF3"/>
    <w:rsid w:val="6B9A0D32"/>
    <w:rsid w:val="6BA211C1"/>
    <w:rsid w:val="6BAC0E5F"/>
    <w:rsid w:val="6BBF43C9"/>
    <w:rsid w:val="6BCA3108"/>
    <w:rsid w:val="6BD32F9C"/>
    <w:rsid w:val="6BD43D70"/>
    <w:rsid w:val="6BEB5B48"/>
    <w:rsid w:val="6BF01E9B"/>
    <w:rsid w:val="6BF86620"/>
    <w:rsid w:val="6C00194F"/>
    <w:rsid w:val="6C072524"/>
    <w:rsid w:val="6C0F0F1C"/>
    <w:rsid w:val="6C141F41"/>
    <w:rsid w:val="6C164B5F"/>
    <w:rsid w:val="6C303294"/>
    <w:rsid w:val="6C3215BA"/>
    <w:rsid w:val="6C35572E"/>
    <w:rsid w:val="6C36146B"/>
    <w:rsid w:val="6C3B0429"/>
    <w:rsid w:val="6C442B87"/>
    <w:rsid w:val="6C4C25CF"/>
    <w:rsid w:val="6CB7036F"/>
    <w:rsid w:val="6CC91943"/>
    <w:rsid w:val="6CDB18CA"/>
    <w:rsid w:val="6CF244A1"/>
    <w:rsid w:val="6CF8236C"/>
    <w:rsid w:val="6D044526"/>
    <w:rsid w:val="6D0A14DA"/>
    <w:rsid w:val="6D0E3E11"/>
    <w:rsid w:val="6D322BE5"/>
    <w:rsid w:val="6D3A2F8D"/>
    <w:rsid w:val="6D4047D9"/>
    <w:rsid w:val="6D55096F"/>
    <w:rsid w:val="6D56434A"/>
    <w:rsid w:val="6D5A2507"/>
    <w:rsid w:val="6D5E3698"/>
    <w:rsid w:val="6D600A7A"/>
    <w:rsid w:val="6D652D5B"/>
    <w:rsid w:val="6D6D003E"/>
    <w:rsid w:val="6D7711D0"/>
    <w:rsid w:val="6D785779"/>
    <w:rsid w:val="6D7F31E6"/>
    <w:rsid w:val="6D824846"/>
    <w:rsid w:val="6D96614E"/>
    <w:rsid w:val="6D9C01FD"/>
    <w:rsid w:val="6DA106D9"/>
    <w:rsid w:val="6DAC05AA"/>
    <w:rsid w:val="6DBF217A"/>
    <w:rsid w:val="6DD2051F"/>
    <w:rsid w:val="6DD30B68"/>
    <w:rsid w:val="6DD41457"/>
    <w:rsid w:val="6DDD4D00"/>
    <w:rsid w:val="6DEC3294"/>
    <w:rsid w:val="6E051A9C"/>
    <w:rsid w:val="6E120A1C"/>
    <w:rsid w:val="6E177851"/>
    <w:rsid w:val="6E1A32F5"/>
    <w:rsid w:val="6E3D7E8F"/>
    <w:rsid w:val="6E46110C"/>
    <w:rsid w:val="6E4B7AAD"/>
    <w:rsid w:val="6E591F49"/>
    <w:rsid w:val="6E597E70"/>
    <w:rsid w:val="6E675122"/>
    <w:rsid w:val="6E724B4D"/>
    <w:rsid w:val="6E75418E"/>
    <w:rsid w:val="6E842AB7"/>
    <w:rsid w:val="6E9C647B"/>
    <w:rsid w:val="6EA84819"/>
    <w:rsid w:val="6EAB29F0"/>
    <w:rsid w:val="6EB05CF3"/>
    <w:rsid w:val="6EC8457B"/>
    <w:rsid w:val="6ECA0884"/>
    <w:rsid w:val="6EEF279A"/>
    <w:rsid w:val="6F020A4A"/>
    <w:rsid w:val="6F0975E8"/>
    <w:rsid w:val="6F1B03B2"/>
    <w:rsid w:val="6F3620AC"/>
    <w:rsid w:val="6F362B69"/>
    <w:rsid w:val="6F454BF0"/>
    <w:rsid w:val="6F70157D"/>
    <w:rsid w:val="6F73041D"/>
    <w:rsid w:val="6F746DDE"/>
    <w:rsid w:val="6F933931"/>
    <w:rsid w:val="6F9603E0"/>
    <w:rsid w:val="6F9812ED"/>
    <w:rsid w:val="6F983CEF"/>
    <w:rsid w:val="6FB10DAD"/>
    <w:rsid w:val="6FB67B18"/>
    <w:rsid w:val="6FB94763"/>
    <w:rsid w:val="6FC85314"/>
    <w:rsid w:val="6FD168EF"/>
    <w:rsid w:val="6FD246C0"/>
    <w:rsid w:val="6FE65FD9"/>
    <w:rsid w:val="70111CA8"/>
    <w:rsid w:val="70344406"/>
    <w:rsid w:val="70351C4B"/>
    <w:rsid w:val="703B5E91"/>
    <w:rsid w:val="70426D48"/>
    <w:rsid w:val="70540BCD"/>
    <w:rsid w:val="705529CD"/>
    <w:rsid w:val="70576330"/>
    <w:rsid w:val="705800AB"/>
    <w:rsid w:val="70837C81"/>
    <w:rsid w:val="70850EC2"/>
    <w:rsid w:val="708B75D5"/>
    <w:rsid w:val="70945F54"/>
    <w:rsid w:val="70AC3C0A"/>
    <w:rsid w:val="70B01F20"/>
    <w:rsid w:val="70B71605"/>
    <w:rsid w:val="70B72C25"/>
    <w:rsid w:val="70B81742"/>
    <w:rsid w:val="70C00A47"/>
    <w:rsid w:val="70C2434D"/>
    <w:rsid w:val="70C3786D"/>
    <w:rsid w:val="70E51FCC"/>
    <w:rsid w:val="70E53614"/>
    <w:rsid w:val="70E67BA2"/>
    <w:rsid w:val="710A7022"/>
    <w:rsid w:val="711915CD"/>
    <w:rsid w:val="713D3733"/>
    <w:rsid w:val="71527A1A"/>
    <w:rsid w:val="71777D9E"/>
    <w:rsid w:val="71835874"/>
    <w:rsid w:val="71872601"/>
    <w:rsid w:val="71A24AB1"/>
    <w:rsid w:val="71C90417"/>
    <w:rsid w:val="71CA775A"/>
    <w:rsid w:val="71E222E0"/>
    <w:rsid w:val="71E606D8"/>
    <w:rsid w:val="71F55644"/>
    <w:rsid w:val="71F86763"/>
    <w:rsid w:val="720A0387"/>
    <w:rsid w:val="722107A4"/>
    <w:rsid w:val="722E7736"/>
    <w:rsid w:val="72313ADC"/>
    <w:rsid w:val="7233248A"/>
    <w:rsid w:val="723A566D"/>
    <w:rsid w:val="72406802"/>
    <w:rsid w:val="724D146A"/>
    <w:rsid w:val="725E01E8"/>
    <w:rsid w:val="72746455"/>
    <w:rsid w:val="727B501A"/>
    <w:rsid w:val="72880778"/>
    <w:rsid w:val="72887E09"/>
    <w:rsid w:val="728B5E38"/>
    <w:rsid w:val="728D59C1"/>
    <w:rsid w:val="729543D5"/>
    <w:rsid w:val="729B5077"/>
    <w:rsid w:val="72A36C61"/>
    <w:rsid w:val="72A82C82"/>
    <w:rsid w:val="72B20C8D"/>
    <w:rsid w:val="72B22B7E"/>
    <w:rsid w:val="72B64A5B"/>
    <w:rsid w:val="72B93F55"/>
    <w:rsid w:val="72CE11F1"/>
    <w:rsid w:val="730351A3"/>
    <w:rsid w:val="73212193"/>
    <w:rsid w:val="73305A57"/>
    <w:rsid w:val="73453D3B"/>
    <w:rsid w:val="73497197"/>
    <w:rsid w:val="734A6AFD"/>
    <w:rsid w:val="735D63B8"/>
    <w:rsid w:val="73750C13"/>
    <w:rsid w:val="73892A58"/>
    <w:rsid w:val="739869F9"/>
    <w:rsid w:val="73AE1197"/>
    <w:rsid w:val="73AE5FFF"/>
    <w:rsid w:val="73B97B13"/>
    <w:rsid w:val="73FE375D"/>
    <w:rsid w:val="740516D2"/>
    <w:rsid w:val="74054ADD"/>
    <w:rsid w:val="74221A03"/>
    <w:rsid w:val="742505BE"/>
    <w:rsid w:val="742C2703"/>
    <w:rsid w:val="744173D3"/>
    <w:rsid w:val="74445DBE"/>
    <w:rsid w:val="74511CB0"/>
    <w:rsid w:val="74803788"/>
    <w:rsid w:val="749670A6"/>
    <w:rsid w:val="74A21097"/>
    <w:rsid w:val="74B40026"/>
    <w:rsid w:val="74B47DB6"/>
    <w:rsid w:val="74B51ACC"/>
    <w:rsid w:val="74B93520"/>
    <w:rsid w:val="74B941BE"/>
    <w:rsid w:val="74C376C3"/>
    <w:rsid w:val="74C6048C"/>
    <w:rsid w:val="74CD5EE9"/>
    <w:rsid w:val="74D73B06"/>
    <w:rsid w:val="74DB4634"/>
    <w:rsid w:val="74ED7091"/>
    <w:rsid w:val="74F020C3"/>
    <w:rsid w:val="751545CB"/>
    <w:rsid w:val="751F7E3A"/>
    <w:rsid w:val="75255086"/>
    <w:rsid w:val="752E5267"/>
    <w:rsid w:val="75436E70"/>
    <w:rsid w:val="754873FA"/>
    <w:rsid w:val="754C4364"/>
    <w:rsid w:val="754D6478"/>
    <w:rsid w:val="75592A96"/>
    <w:rsid w:val="75710E11"/>
    <w:rsid w:val="75786543"/>
    <w:rsid w:val="757C3486"/>
    <w:rsid w:val="7584048F"/>
    <w:rsid w:val="75870060"/>
    <w:rsid w:val="758A5637"/>
    <w:rsid w:val="75903A0D"/>
    <w:rsid w:val="759E1C01"/>
    <w:rsid w:val="75A87092"/>
    <w:rsid w:val="75B605C2"/>
    <w:rsid w:val="75B95594"/>
    <w:rsid w:val="75CB52A8"/>
    <w:rsid w:val="75DC186C"/>
    <w:rsid w:val="75DF0460"/>
    <w:rsid w:val="75E75613"/>
    <w:rsid w:val="75F33D14"/>
    <w:rsid w:val="76196715"/>
    <w:rsid w:val="761C0E8C"/>
    <w:rsid w:val="7630190A"/>
    <w:rsid w:val="764275E0"/>
    <w:rsid w:val="764C3073"/>
    <w:rsid w:val="765B24F6"/>
    <w:rsid w:val="76625C65"/>
    <w:rsid w:val="766418C6"/>
    <w:rsid w:val="767413B9"/>
    <w:rsid w:val="76774D15"/>
    <w:rsid w:val="767A6C44"/>
    <w:rsid w:val="769F6E9B"/>
    <w:rsid w:val="76A402D3"/>
    <w:rsid w:val="76B17E3F"/>
    <w:rsid w:val="76B732F6"/>
    <w:rsid w:val="76C91350"/>
    <w:rsid w:val="76D75C5E"/>
    <w:rsid w:val="76FC0F38"/>
    <w:rsid w:val="76FE1A6A"/>
    <w:rsid w:val="77083D38"/>
    <w:rsid w:val="770B4916"/>
    <w:rsid w:val="771E4247"/>
    <w:rsid w:val="77302F98"/>
    <w:rsid w:val="773045BE"/>
    <w:rsid w:val="773237BA"/>
    <w:rsid w:val="77340571"/>
    <w:rsid w:val="77342B51"/>
    <w:rsid w:val="773F3F61"/>
    <w:rsid w:val="775964AB"/>
    <w:rsid w:val="776C08A7"/>
    <w:rsid w:val="77727E6A"/>
    <w:rsid w:val="777348CE"/>
    <w:rsid w:val="777F3389"/>
    <w:rsid w:val="778C3F1C"/>
    <w:rsid w:val="779656BC"/>
    <w:rsid w:val="779E2310"/>
    <w:rsid w:val="77A4372A"/>
    <w:rsid w:val="77A46454"/>
    <w:rsid w:val="77AC0E9F"/>
    <w:rsid w:val="77C91740"/>
    <w:rsid w:val="77D766AB"/>
    <w:rsid w:val="77DE24C7"/>
    <w:rsid w:val="77E84235"/>
    <w:rsid w:val="77F27AFF"/>
    <w:rsid w:val="780A196C"/>
    <w:rsid w:val="78313CDA"/>
    <w:rsid w:val="784A3EF5"/>
    <w:rsid w:val="784C24C1"/>
    <w:rsid w:val="784D42B3"/>
    <w:rsid w:val="78536ADD"/>
    <w:rsid w:val="78550801"/>
    <w:rsid w:val="78582070"/>
    <w:rsid w:val="78744D50"/>
    <w:rsid w:val="78747403"/>
    <w:rsid w:val="78813096"/>
    <w:rsid w:val="788C672A"/>
    <w:rsid w:val="788D6905"/>
    <w:rsid w:val="78915C61"/>
    <w:rsid w:val="78A27734"/>
    <w:rsid w:val="78B22D00"/>
    <w:rsid w:val="78BB1895"/>
    <w:rsid w:val="78CA0A97"/>
    <w:rsid w:val="78D9086D"/>
    <w:rsid w:val="78EB655B"/>
    <w:rsid w:val="78F933BB"/>
    <w:rsid w:val="790D553D"/>
    <w:rsid w:val="7911714D"/>
    <w:rsid w:val="791D5441"/>
    <w:rsid w:val="791F54FE"/>
    <w:rsid w:val="79540F9D"/>
    <w:rsid w:val="79610CC6"/>
    <w:rsid w:val="796E2E24"/>
    <w:rsid w:val="797572B9"/>
    <w:rsid w:val="797B3D2B"/>
    <w:rsid w:val="79833ADA"/>
    <w:rsid w:val="798A5CED"/>
    <w:rsid w:val="799A61E7"/>
    <w:rsid w:val="79A07CA5"/>
    <w:rsid w:val="79A904B7"/>
    <w:rsid w:val="79BA0C77"/>
    <w:rsid w:val="79C31FD1"/>
    <w:rsid w:val="79C813D6"/>
    <w:rsid w:val="79CB4A2D"/>
    <w:rsid w:val="79DA0900"/>
    <w:rsid w:val="79F10BCF"/>
    <w:rsid w:val="7A016027"/>
    <w:rsid w:val="7A1D37C3"/>
    <w:rsid w:val="7A1F246D"/>
    <w:rsid w:val="7A282400"/>
    <w:rsid w:val="7A2E70A1"/>
    <w:rsid w:val="7A3412FC"/>
    <w:rsid w:val="7A3B042A"/>
    <w:rsid w:val="7A444692"/>
    <w:rsid w:val="7A472D6D"/>
    <w:rsid w:val="7A50421D"/>
    <w:rsid w:val="7A547E8B"/>
    <w:rsid w:val="7A5C73EF"/>
    <w:rsid w:val="7A7430CC"/>
    <w:rsid w:val="7A81383E"/>
    <w:rsid w:val="7A831E7B"/>
    <w:rsid w:val="7A8C635A"/>
    <w:rsid w:val="7A9F77DA"/>
    <w:rsid w:val="7AA634EB"/>
    <w:rsid w:val="7AA66EC8"/>
    <w:rsid w:val="7AB514DB"/>
    <w:rsid w:val="7AC53928"/>
    <w:rsid w:val="7ACF06B8"/>
    <w:rsid w:val="7AD4000F"/>
    <w:rsid w:val="7ADB1797"/>
    <w:rsid w:val="7ADF6058"/>
    <w:rsid w:val="7AE35725"/>
    <w:rsid w:val="7AE7567B"/>
    <w:rsid w:val="7B0A5EBA"/>
    <w:rsid w:val="7B0C1172"/>
    <w:rsid w:val="7B2069FD"/>
    <w:rsid w:val="7B224AEF"/>
    <w:rsid w:val="7B2F5E32"/>
    <w:rsid w:val="7B480DA8"/>
    <w:rsid w:val="7B5525F8"/>
    <w:rsid w:val="7B5B24E5"/>
    <w:rsid w:val="7B670EFC"/>
    <w:rsid w:val="7B90299A"/>
    <w:rsid w:val="7B9030AE"/>
    <w:rsid w:val="7B951265"/>
    <w:rsid w:val="7B977ECF"/>
    <w:rsid w:val="7BB60613"/>
    <w:rsid w:val="7BBA0E99"/>
    <w:rsid w:val="7BBA2037"/>
    <w:rsid w:val="7BCE3909"/>
    <w:rsid w:val="7BE21C59"/>
    <w:rsid w:val="7BEB5709"/>
    <w:rsid w:val="7BEF7D9E"/>
    <w:rsid w:val="7BF76D24"/>
    <w:rsid w:val="7BFE6302"/>
    <w:rsid w:val="7C032A5A"/>
    <w:rsid w:val="7C053D52"/>
    <w:rsid w:val="7C0710CB"/>
    <w:rsid w:val="7C15166F"/>
    <w:rsid w:val="7C2410D6"/>
    <w:rsid w:val="7C2725B1"/>
    <w:rsid w:val="7C2737B9"/>
    <w:rsid w:val="7C686FD9"/>
    <w:rsid w:val="7C760E64"/>
    <w:rsid w:val="7C786D76"/>
    <w:rsid w:val="7C8235E1"/>
    <w:rsid w:val="7C8852D5"/>
    <w:rsid w:val="7C896654"/>
    <w:rsid w:val="7C925389"/>
    <w:rsid w:val="7C995D8A"/>
    <w:rsid w:val="7C9B59A8"/>
    <w:rsid w:val="7CAF2C37"/>
    <w:rsid w:val="7CBE74DB"/>
    <w:rsid w:val="7CD300C5"/>
    <w:rsid w:val="7CD861F3"/>
    <w:rsid w:val="7CE42B5B"/>
    <w:rsid w:val="7CE70B72"/>
    <w:rsid w:val="7CEC3864"/>
    <w:rsid w:val="7CF447A7"/>
    <w:rsid w:val="7D1A42D3"/>
    <w:rsid w:val="7D227C5C"/>
    <w:rsid w:val="7D2555AB"/>
    <w:rsid w:val="7D666E5F"/>
    <w:rsid w:val="7D673119"/>
    <w:rsid w:val="7D6D7294"/>
    <w:rsid w:val="7D7355C5"/>
    <w:rsid w:val="7D7C605E"/>
    <w:rsid w:val="7D831EB5"/>
    <w:rsid w:val="7D9B09ED"/>
    <w:rsid w:val="7DB509E2"/>
    <w:rsid w:val="7DC149FC"/>
    <w:rsid w:val="7DC25492"/>
    <w:rsid w:val="7DC320EE"/>
    <w:rsid w:val="7DC73D48"/>
    <w:rsid w:val="7DCC76C3"/>
    <w:rsid w:val="7DD31E34"/>
    <w:rsid w:val="7DD41C62"/>
    <w:rsid w:val="7DDF32C1"/>
    <w:rsid w:val="7DE346FB"/>
    <w:rsid w:val="7DF97C1A"/>
    <w:rsid w:val="7E0D3CBF"/>
    <w:rsid w:val="7E0E014B"/>
    <w:rsid w:val="7E131EBC"/>
    <w:rsid w:val="7E374855"/>
    <w:rsid w:val="7E45070D"/>
    <w:rsid w:val="7E49057E"/>
    <w:rsid w:val="7E595560"/>
    <w:rsid w:val="7E5A3EEA"/>
    <w:rsid w:val="7E5D217A"/>
    <w:rsid w:val="7E876DB7"/>
    <w:rsid w:val="7E8B30E8"/>
    <w:rsid w:val="7E9466AE"/>
    <w:rsid w:val="7EA13A31"/>
    <w:rsid w:val="7EC268E3"/>
    <w:rsid w:val="7ED65ACB"/>
    <w:rsid w:val="7EDB18AE"/>
    <w:rsid w:val="7EEF09CE"/>
    <w:rsid w:val="7EF07197"/>
    <w:rsid w:val="7EF91DEC"/>
    <w:rsid w:val="7EFC1C9B"/>
    <w:rsid w:val="7F026CBB"/>
    <w:rsid w:val="7F03254B"/>
    <w:rsid w:val="7F0E591C"/>
    <w:rsid w:val="7F1A59EA"/>
    <w:rsid w:val="7F1B62F6"/>
    <w:rsid w:val="7F1F144A"/>
    <w:rsid w:val="7F2F04C2"/>
    <w:rsid w:val="7F2F0F39"/>
    <w:rsid w:val="7F3B51D0"/>
    <w:rsid w:val="7F3F2127"/>
    <w:rsid w:val="7F4121FA"/>
    <w:rsid w:val="7F4C4F75"/>
    <w:rsid w:val="7F5F0D72"/>
    <w:rsid w:val="7F5F4403"/>
    <w:rsid w:val="7F700CCF"/>
    <w:rsid w:val="7F7174FB"/>
    <w:rsid w:val="7F7B16E1"/>
    <w:rsid w:val="7F8B53B2"/>
    <w:rsid w:val="7F8E1287"/>
    <w:rsid w:val="7F9A5CAB"/>
    <w:rsid w:val="7FA801E0"/>
    <w:rsid w:val="7FB54037"/>
    <w:rsid w:val="7FCB1D95"/>
    <w:rsid w:val="7FEC7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spacing w:line="372"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Subtitle"/>
    <w:basedOn w:val="1"/>
    <w:qFormat/>
    <w:uiPriority w:val="11"/>
    <w:pPr>
      <w:spacing w:before="240" w:after="60" w:line="312" w:lineRule="auto"/>
      <w:jc w:val="center"/>
      <w:outlineLvl w:val="1"/>
    </w:pPr>
    <w:rPr>
      <w:rFonts w:ascii="Arial" w:hAnsi="Arial"/>
      <w:b/>
      <w:kern w:val="28"/>
      <w:sz w:val="32"/>
    </w:rPr>
  </w:style>
  <w:style w:type="paragraph" w:styleId="7">
    <w:name w:val="Normal Indent"/>
    <w:basedOn w:val="1"/>
    <w:qFormat/>
    <w:uiPriority w:val="0"/>
    <w:pPr>
      <w:ind w:firstLine="420" w:firstLineChars="200"/>
    </w:pPr>
  </w:style>
  <w:style w:type="paragraph" w:styleId="8">
    <w:name w:val="Balloon Text"/>
    <w:basedOn w:val="1"/>
    <w:link w:val="36"/>
    <w:qFormat/>
    <w:uiPriority w:val="0"/>
    <w:rPr>
      <w:sz w:val="16"/>
      <w:szCs w:val="1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Emphasis"/>
    <w:basedOn w:val="14"/>
    <w:qFormat/>
    <w:uiPriority w:val="0"/>
    <w:rPr>
      <w:i/>
    </w:rPr>
  </w:style>
  <w:style w:type="character" w:styleId="18">
    <w:name w:val="Hyperlink"/>
    <w:basedOn w:val="14"/>
    <w:qFormat/>
    <w:uiPriority w:val="0"/>
    <w:rPr>
      <w:color w:val="333333"/>
      <w:u w:val="none"/>
    </w:rPr>
  </w:style>
  <w:style w:type="character" w:customStyle="1" w:styleId="19">
    <w:name w:val="纯文本 Char"/>
    <w:basedOn w:val="14"/>
    <w:link w:val="20"/>
    <w:semiHidden/>
    <w:qFormat/>
    <w:uiPriority w:val="0"/>
    <w:rPr>
      <w:rFonts w:ascii="宋体" w:hAnsi="Courier New" w:eastAsia="宋体" w:cs="Courier New"/>
      <w:sz w:val="21"/>
      <w:szCs w:val="21"/>
    </w:rPr>
  </w:style>
  <w:style w:type="paragraph" w:customStyle="1" w:styleId="20">
    <w:name w:val="纯文本1"/>
    <w:basedOn w:val="1"/>
    <w:link w:val="19"/>
    <w:qFormat/>
    <w:uiPriority w:val="0"/>
    <w:rPr>
      <w:rFonts w:ascii="宋体" w:hAnsi="Courier New" w:cs="Courier New"/>
      <w:szCs w:val="21"/>
    </w:rPr>
  </w:style>
  <w:style w:type="paragraph" w:customStyle="1" w:styleId="21">
    <w:name w:val="批注框文本1"/>
    <w:basedOn w:val="1"/>
    <w:link w:val="22"/>
    <w:qFormat/>
    <w:uiPriority w:val="0"/>
    <w:rPr>
      <w:rFonts w:ascii="Heiti SC Light" w:eastAsia="Heiti SC Light"/>
      <w:sz w:val="18"/>
      <w:szCs w:val="18"/>
    </w:rPr>
  </w:style>
  <w:style w:type="character" w:customStyle="1" w:styleId="22">
    <w:name w:val="批注框文本 Char"/>
    <w:basedOn w:val="14"/>
    <w:link w:val="21"/>
    <w:semiHidden/>
    <w:qFormat/>
    <w:uiPriority w:val="0"/>
    <w:rPr>
      <w:rFonts w:ascii="Heiti SC Light" w:hAnsi="Times New Roman" w:eastAsia="Heiti SC Light" w:cs="Times New Roman"/>
      <w:sz w:val="18"/>
      <w:szCs w:val="18"/>
    </w:rPr>
  </w:style>
  <w:style w:type="paragraph" w:customStyle="1" w:styleId="23">
    <w:name w:val="正文1"/>
    <w:basedOn w:val="1"/>
    <w:qFormat/>
    <w:uiPriority w:val="0"/>
    <w:pPr>
      <w:widowControl/>
    </w:pPr>
    <w:rPr>
      <w:rFonts w:ascii="仿宋_GB2312" w:hAnsi="宋体" w:eastAsia="仿宋_GB2312" w:cs="宋体"/>
      <w:szCs w:val="21"/>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cur"/>
    <w:basedOn w:val="14"/>
    <w:qFormat/>
    <w:uiPriority w:val="0"/>
    <w:rPr>
      <w:color w:val="FFFFFF"/>
      <w:bdr w:val="single" w:color="CC0000" w:sz="6" w:space="0"/>
      <w:shd w:val="clear" w:color="auto" w:fill="CC0000"/>
    </w:rPr>
  </w:style>
  <w:style w:type="character" w:customStyle="1" w:styleId="28">
    <w:name w:val="no"/>
    <w:basedOn w:val="14"/>
    <w:qFormat/>
    <w:uiPriority w:val="0"/>
    <w:rPr>
      <w:color w:val="999999"/>
      <w:bdr w:val="single" w:color="CCCCCC" w:sz="6" w:space="0"/>
    </w:rPr>
  </w:style>
  <w:style w:type="character" w:customStyle="1" w:styleId="29">
    <w:name w:val="no1"/>
    <w:basedOn w:val="14"/>
    <w:qFormat/>
    <w:uiPriority w:val="0"/>
    <w:rPr>
      <w:color w:val="999999"/>
      <w:bdr w:val="single" w:color="CCCCCC" w:sz="6" w:space="0"/>
    </w:rPr>
  </w:style>
  <w:style w:type="character" w:customStyle="1" w:styleId="30">
    <w:name w:val="cur1"/>
    <w:basedOn w:val="14"/>
    <w:qFormat/>
    <w:uiPriority w:val="0"/>
    <w:rPr>
      <w:color w:val="FFFFFF"/>
      <w:bdr w:val="single" w:color="CC0000" w:sz="6" w:space="0"/>
      <w:shd w:val="clear" w:color="auto" w:fill="CC0000"/>
    </w:rPr>
  </w:style>
  <w:style w:type="character" w:customStyle="1" w:styleId="31">
    <w:name w:val="font51"/>
    <w:basedOn w:val="14"/>
    <w:qFormat/>
    <w:uiPriority w:val="0"/>
    <w:rPr>
      <w:rFonts w:hint="default" w:ascii="楷体_GB2312" w:eastAsia="楷体_GB2312" w:cs="楷体_GB2312"/>
      <w:b/>
      <w:color w:val="000000"/>
      <w:sz w:val="28"/>
      <w:szCs w:val="28"/>
      <w:u w:val="none"/>
    </w:rPr>
  </w:style>
  <w:style w:type="character" w:customStyle="1" w:styleId="32">
    <w:name w:val="font11"/>
    <w:basedOn w:val="14"/>
    <w:qFormat/>
    <w:uiPriority w:val="0"/>
    <w:rPr>
      <w:rFonts w:hint="default" w:ascii="楷体_GB2312" w:eastAsia="楷体_GB2312" w:cs="楷体_GB2312"/>
      <w:color w:val="000000"/>
      <w:sz w:val="24"/>
      <w:szCs w:val="24"/>
      <w:u w:val="none"/>
    </w:rPr>
  </w:style>
  <w:style w:type="paragraph" w:customStyle="1" w:styleId="33">
    <w:name w:val="Body text|1"/>
    <w:basedOn w:val="1"/>
    <w:qFormat/>
    <w:uiPriority w:val="0"/>
    <w:pPr>
      <w:spacing w:line="480" w:lineRule="auto"/>
      <w:ind w:firstLine="40"/>
    </w:pPr>
    <w:rPr>
      <w:rFonts w:ascii="宋体" w:hAnsi="宋体" w:cs="宋体"/>
      <w:sz w:val="28"/>
      <w:szCs w:val="28"/>
      <w:lang w:val="zh-TW" w:eastAsia="zh-TW" w:bidi="zh-TW"/>
    </w:rPr>
  </w:style>
  <w:style w:type="paragraph" w:customStyle="1" w:styleId="34">
    <w:name w:val="Header or footer|2"/>
    <w:basedOn w:val="1"/>
    <w:qFormat/>
    <w:uiPriority w:val="0"/>
    <w:rPr>
      <w:sz w:val="20"/>
      <w:lang w:val="zh-TW" w:eastAsia="zh-TW" w:bidi="zh-TW"/>
    </w:rPr>
  </w:style>
  <w:style w:type="paragraph" w:customStyle="1" w:styleId="35">
    <w:name w:val="Body text|2"/>
    <w:basedOn w:val="1"/>
    <w:qFormat/>
    <w:uiPriority w:val="0"/>
    <w:pPr>
      <w:spacing w:line="701" w:lineRule="exact"/>
    </w:pPr>
    <w:rPr>
      <w:rFonts w:ascii="宋体" w:hAnsi="宋体" w:cs="宋体"/>
      <w:sz w:val="32"/>
      <w:szCs w:val="32"/>
      <w:lang w:val="zh-TW" w:eastAsia="zh-TW" w:bidi="zh-TW"/>
    </w:rPr>
  </w:style>
  <w:style w:type="character" w:customStyle="1" w:styleId="36">
    <w:name w:val="批注框文本 字符"/>
    <w:basedOn w:val="14"/>
    <w:link w:val="8"/>
    <w:qFormat/>
    <w:uiPriority w:val="0"/>
    <w:rPr>
      <w:kern w:val="2"/>
      <w:sz w:val="16"/>
      <w:szCs w:val="16"/>
    </w:rPr>
  </w:style>
  <w:style w:type="character" w:customStyle="1" w:styleId="37">
    <w:name w:val="标题 1 字符"/>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e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020;&#261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242850218129"/>
          <c:y val="0.171696700916326"/>
          <c:w val="0.745516238487639"/>
          <c:h val="0.660227516634471"/>
        </c:manualLayout>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Pt>
            <c:idx val="8"/>
            <c:bubble3D val="0"/>
            <c:spPr>
              <a:solidFill>
                <a:schemeClr val="accent3">
                  <a:lumMod val="60000"/>
                </a:schemeClr>
              </a:solidFill>
              <a:ln>
                <a:noFill/>
              </a:ln>
              <a:effectLst/>
            </c:spPr>
          </c:dPt>
          <c:dPt>
            <c:idx val="9"/>
            <c:bubble3D val="0"/>
            <c:spPr>
              <a:solidFill>
                <a:schemeClr val="accent4">
                  <a:lumMod val="60000"/>
                </a:schemeClr>
              </a:solidFill>
              <a:ln>
                <a:noFill/>
              </a:ln>
              <a:effectLst/>
            </c:spPr>
          </c:dPt>
          <c:dPt>
            <c:idx val="10"/>
            <c:bubble3D val="0"/>
            <c:spPr>
              <a:solidFill>
                <a:schemeClr val="accent5">
                  <a:lumMod val="60000"/>
                </a:schemeClr>
              </a:solidFill>
              <a:ln>
                <a:noFill/>
              </a:ln>
              <a:effectLst/>
            </c:spPr>
          </c:dPt>
          <c:dPt>
            <c:idx val="11"/>
            <c:bubble3D val="0"/>
            <c:spPr>
              <a:solidFill>
                <a:schemeClr val="accent6">
                  <a:lumMod val="60000"/>
                </a:schemeClr>
              </a:solidFill>
              <a:ln>
                <a:noFill/>
              </a:ln>
              <a:effectLst/>
            </c:spPr>
          </c:dPt>
          <c:dPt>
            <c:idx val="12"/>
            <c:bubble3D val="0"/>
            <c:spPr>
              <a:solidFill>
                <a:schemeClr val="accent1">
                  <a:lumMod val="80000"/>
                  <a:lumOff val="20000"/>
                </a:schemeClr>
              </a:solidFill>
              <a:ln>
                <a:noFill/>
              </a:ln>
              <a:effectLst/>
            </c:spPr>
          </c:dPt>
          <c:dPt>
            <c:idx val="13"/>
            <c:bubble3D val="0"/>
            <c:spPr>
              <a:solidFill>
                <a:schemeClr val="accent2">
                  <a:lumMod val="80000"/>
                  <a:lumOff val="20000"/>
                </a:schemeClr>
              </a:solidFill>
              <a:ln>
                <a:noFill/>
              </a:ln>
              <a:effectLst/>
            </c:spPr>
          </c:dPt>
          <c:dLbls>
            <c:dLbl>
              <c:idx val="0"/>
              <c:layout>
                <c:manualLayout>
                  <c:x val="0.0817591279026357"/>
                  <c:y val="-0.048909377108162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武威市</a:t>
                    </a:r>
                    <a:r>
                      <a:rPr lang="en-US" altLang="zh-CN">
                        <a:solidFill>
                          <a:sysClr val="windowText" lastClr="000000"/>
                        </a:solidFill>
                      </a:rPr>
                      <a:t>, 29.2</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1"/>
              <c:layout>
                <c:manualLayout>
                  <c:x val="0.01455984469499"/>
                  <c:y val="0.019311537659342"/>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白银市</a:t>
                    </a:r>
                    <a:r>
                      <a:rPr lang="en-US" altLang="zh-CN">
                        <a:solidFill>
                          <a:sysClr val="windowText" lastClr="000000"/>
                        </a:solidFill>
                      </a:rPr>
                      <a:t>, 34.6</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2"/>
              <c:layout>
                <c:manualLayout>
                  <c:x val="-0.0369596057642052"/>
                  <c:y val="0.00608410292188856"/>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庆阳市</a:t>
                    </a:r>
                    <a:r>
                      <a:rPr lang="en-US" altLang="zh-CN">
                        <a:solidFill>
                          <a:sysClr val="windowText" lastClr="000000"/>
                        </a:solidFill>
                      </a:rPr>
                      <a:t>, 77.6</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3"/>
              <c:layout>
                <c:manualLayout>
                  <c:x val="-0.0470394982453521"/>
                  <c:y val="-0.0054568015704557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平凉市</a:t>
                    </a:r>
                    <a:r>
                      <a:rPr lang="en-US" altLang="zh-CN">
                        <a:solidFill>
                          <a:sysClr val="windowText" lastClr="000000"/>
                        </a:solidFill>
                      </a:rPr>
                      <a:t>, 80</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0201597849622937"/>
                  <c:y val="-0.016379822541489"/>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定西市</a:t>
                    </a:r>
                    <a:r>
                      <a:rPr lang="en-US" altLang="zh-CN">
                        <a:solidFill>
                          <a:sysClr val="windowText" lastClr="000000"/>
                        </a:solidFill>
                      </a:rPr>
                      <a:t>, 110.24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5"/>
              <c:layout>
                <c:manualLayout>
                  <c:x val="0.0189517668250381"/>
                  <c:y val="-0.0286557680040777"/>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天水市</a:t>
                    </a:r>
                    <a:r>
                      <a:rPr lang="en-US" altLang="zh-CN">
                        <a:solidFill>
                          <a:sysClr val="windowText" lastClr="000000"/>
                        </a:solidFill>
                      </a:rPr>
                      <a:t>, 69.4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6"/>
              <c:layout>
                <c:manualLayout>
                  <c:x val="-0.0436795340849698"/>
                  <c:y val="-0.032671376008505"/>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陇南市</a:t>
                    </a:r>
                    <a:r>
                      <a:rPr lang="en-US" altLang="zh-CN">
                        <a:solidFill>
                          <a:sysClr val="windowText" lastClr="000000"/>
                        </a:solidFill>
                      </a:rPr>
                      <a:t>, 64.4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7"/>
              <c:layout>
                <c:manualLayout>
                  <c:x val="0.0268797132830583"/>
                  <c:y val="-0.00674612098043623"/>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临夏市</a:t>
                    </a:r>
                    <a:r>
                      <a:rPr lang="en-US" altLang="zh-CN">
                        <a:solidFill>
                          <a:sysClr val="windowText" lastClr="000000"/>
                        </a:solidFill>
                      </a:rPr>
                      <a:t>, 141.6</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8"/>
              <c:layout>
                <c:manualLayout>
                  <c:x val="0.0369596057642052"/>
                  <c:y val="-0.005545070644928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甘南州</a:t>
                    </a:r>
                    <a:r>
                      <a:rPr lang="en-US" altLang="zh-CN">
                        <a:solidFill>
                          <a:sysClr val="windowText" lastClr="000000"/>
                        </a:solidFill>
                      </a:rPr>
                      <a:t>, 26.8</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9"/>
              <c:layout>
                <c:manualLayout>
                  <c:x val="-0.019039796908833"/>
                  <c:y val="-0.0220572967981273"/>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张掖市</a:t>
                    </a:r>
                    <a:r>
                      <a:rPr lang="en-US" altLang="zh-CN">
                        <a:solidFill>
                          <a:sysClr val="windowText" lastClr="000000"/>
                        </a:solidFill>
                      </a:rPr>
                      <a:t>, 89</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10"/>
              <c:layout>
                <c:manualLayout>
                  <c:x val="-0.0526394385126559"/>
                  <c:y val="0.00120105033550743"/>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金昌市</a:t>
                    </a:r>
                    <a:r>
                      <a:rPr lang="en-US" altLang="zh-CN">
                        <a:solidFill>
                          <a:sysClr val="windowText" lastClr="000000"/>
                        </a:solidFill>
                      </a:rPr>
                      <a:t>, 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11"/>
              <c:layout>
                <c:manualLayout>
                  <c:x val="-0.0582393787799597"/>
                  <c:y val="-0.0219248931864178"/>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酒泉市</a:t>
                    </a:r>
                    <a:r>
                      <a:rPr lang="en-US" altLang="zh-CN">
                        <a:solidFill>
                          <a:sysClr val="windowText" lastClr="000000"/>
                        </a:solidFill>
                      </a:rPr>
                      <a:t>, 58.84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12"/>
              <c:layout>
                <c:manualLayout>
                  <c:x val="-0.0571193907264989"/>
                  <c:y val="-0.0371036653923994"/>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兰州新区</a:t>
                    </a:r>
                    <a:r>
                      <a:rPr lang="en-US" altLang="zh-CN">
                        <a:solidFill>
                          <a:sysClr val="windowText" lastClr="000000"/>
                        </a:solidFill>
                      </a:rPr>
                      <a:t>, 5.4</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dLbl>
              <c:idx val="13"/>
              <c:layout>
                <c:manualLayout>
                  <c:x val="-0.00671992832076458"/>
                  <c:y val="-0.0674612098043625"/>
                </c:manualLayout>
              </c:layout>
              <c:tx>
                <c:rich>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zh-CN" altLang="en-US">
                        <a:solidFill>
                          <a:sysClr val="windowText" lastClr="000000"/>
                        </a:solidFill>
                      </a:rPr>
                      <a:t>绩效评价及审计</a:t>
                    </a:r>
                    <a:r>
                      <a:rPr lang="en-US" altLang="zh-CN">
                        <a:solidFill>
                          <a:sysClr val="windowText" lastClr="000000"/>
                        </a:solidFill>
                      </a:rPr>
                      <a:t>, 8.92</a:t>
                    </a:r>
                    <a:r>
                      <a:rPr lang="zh-CN" altLang="en-US">
                        <a:solidFill>
                          <a:sysClr val="windowText" lastClr="000000"/>
                        </a:solidFill>
                      </a:rPr>
                      <a:t>万元</a:t>
                    </a:r>
                    <a:endParaRPr lang="zh-CN" altLang="en-US">
                      <a:solidFill>
                        <a:sysClr val="windowText" lastClr="000000"/>
                      </a:solidFill>
                    </a:endParaRPr>
                  </a:p>
                </c:rich>
              </c:tx>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[临时.xlsx]Sheet1!$A$4:$A$17</c:f>
              <c:strCache>
                <c:ptCount val="14"/>
                <c:pt idx="0">
                  <c:v>武威市</c:v>
                </c:pt>
                <c:pt idx="1">
                  <c:v>白银市</c:v>
                </c:pt>
                <c:pt idx="2">
                  <c:v>庆阳市</c:v>
                </c:pt>
                <c:pt idx="3">
                  <c:v>平凉市</c:v>
                </c:pt>
                <c:pt idx="4">
                  <c:v>定西市</c:v>
                </c:pt>
                <c:pt idx="5">
                  <c:v>天水市</c:v>
                </c:pt>
                <c:pt idx="6">
                  <c:v>陇南市</c:v>
                </c:pt>
                <c:pt idx="7">
                  <c:v>临夏市</c:v>
                </c:pt>
                <c:pt idx="8">
                  <c:v>甘南州</c:v>
                </c:pt>
                <c:pt idx="9">
                  <c:v>张掖市</c:v>
                </c:pt>
                <c:pt idx="10">
                  <c:v>金昌市</c:v>
                </c:pt>
                <c:pt idx="11">
                  <c:v>酒泉市</c:v>
                </c:pt>
                <c:pt idx="12">
                  <c:v>兰州新区</c:v>
                </c:pt>
                <c:pt idx="13">
                  <c:v>绩效评价及审计</c:v>
                </c:pt>
              </c:strCache>
            </c:strRef>
          </c:cat>
          <c:val>
            <c:numRef>
              <c:f>[临时.xlsx]Sheet1!$B$4:$B$17</c:f>
              <c:numCache>
                <c:formatCode>General</c:formatCode>
                <c:ptCount val="14"/>
                <c:pt idx="0">
                  <c:v>29.2</c:v>
                </c:pt>
                <c:pt idx="1">
                  <c:v>34.6</c:v>
                </c:pt>
                <c:pt idx="2">
                  <c:v>77.6</c:v>
                </c:pt>
                <c:pt idx="3">
                  <c:v>80</c:v>
                </c:pt>
                <c:pt idx="4">
                  <c:v>110.24</c:v>
                </c:pt>
                <c:pt idx="5">
                  <c:v>69.4</c:v>
                </c:pt>
                <c:pt idx="6">
                  <c:v>64.4</c:v>
                </c:pt>
                <c:pt idx="7">
                  <c:v>141.6</c:v>
                </c:pt>
                <c:pt idx="8">
                  <c:v>26.8</c:v>
                </c:pt>
                <c:pt idx="9">
                  <c:v>89</c:v>
                </c:pt>
                <c:pt idx="10">
                  <c:v>4</c:v>
                </c:pt>
                <c:pt idx="11">
                  <c:v>58.84</c:v>
                </c:pt>
                <c:pt idx="12">
                  <c:v>5.4</c:v>
                </c:pt>
                <c:pt idx="13">
                  <c:v>8.92</c:v>
                </c:pt>
              </c:numCache>
            </c:numRef>
          </c:val>
        </c:ser>
        <c:dLbls>
          <c:showLegendKey val="1"/>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4451</Words>
  <Characters>25375</Characters>
  <Lines>211</Lines>
  <Paragraphs>59</Paragraphs>
  <TotalTime>102</TotalTime>
  <ScaleCrop>false</ScaleCrop>
  <LinksUpToDate>false</LinksUpToDate>
  <CharactersWithSpaces>29767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2022-08-21T04:40:00Z</dcterms:created>
  <dc:creator>Fan</dc:creator>
  <cp:lastModifiedBy>Administrator</cp:lastModifiedBy>
  <cp:lastPrinted>2020-06-16T11:44:00Z</cp:lastPrinted>
  <dcterms:modified xsi:type="dcterms:W3CDTF">2022-08-22T02:00:47Z</dcterms:modified>
  <dc:title>Administrator</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A705CC742D664B8EB49D600E2705D463</vt:lpwstr>
  </property>
</Properties>
</file>